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B5" w:rsidRDefault="004923B5" w:rsidP="004923B5">
      <w:pPr>
        <w:ind w:left="6480" w:firstLine="720"/>
        <w:rPr>
          <w:rFonts w:asciiTheme="minorHAnsi" w:hAnsiTheme="minorHAnsi"/>
          <w:b/>
          <w:sz w:val="36"/>
        </w:rPr>
      </w:pPr>
      <w:bookmarkStart w:id="0" w:name="_GoBack"/>
      <w:bookmarkEnd w:id="0"/>
      <w:r>
        <w:rPr>
          <w:rFonts w:asciiTheme="minorHAnsi" w:hAnsiTheme="minorHAnsi"/>
          <w:b/>
          <w:sz w:val="36"/>
        </w:rPr>
        <w:t>Appendix 2</w:t>
      </w:r>
    </w:p>
    <w:p w:rsidR="00C87FD8" w:rsidRPr="00334990" w:rsidRDefault="00094AFD" w:rsidP="003A3265">
      <w:pPr>
        <w:rPr>
          <w:rFonts w:asciiTheme="minorHAnsi" w:hAnsiTheme="minorHAnsi"/>
          <w:b/>
          <w:sz w:val="28"/>
        </w:rPr>
      </w:pPr>
      <w:r w:rsidRPr="00334990">
        <w:rPr>
          <w:rFonts w:asciiTheme="minorHAnsi" w:hAnsiTheme="minorHAnsi"/>
          <w:b/>
          <w:sz w:val="36"/>
        </w:rPr>
        <w:t xml:space="preserve">Community Infrastructure Levy </w:t>
      </w:r>
      <w:r w:rsidR="00334990" w:rsidRPr="00334990">
        <w:rPr>
          <w:rFonts w:asciiTheme="minorHAnsi" w:hAnsiTheme="minorHAnsi"/>
          <w:b/>
          <w:sz w:val="36"/>
        </w:rPr>
        <w:t xml:space="preserve">(CIL) </w:t>
      </w:r>
      <w:r w:rsidRPr="00334990">
        <w:rPr>
          <w:rFonts w:asciiTheme="minorHAnsi" w:hAnsiTheme="minorHAnsi"/>
          <w:b/>
          <w:sz w:val="36"/>
        </w:rPr>
        <w:t>Review</w:t>
      </w:r>
    </w:p>
    <w:p w:rsidR="00334990" w:rsidRPr="00334990" w:rsidRDefault="00334990" w:rsidP="00094AFD">
      <w:pPr>
        <w:rPr>
          <w:rFonts w:asciiTheme="minorHAnsi" w:hAnsiTheme="minorHAnsi"/>
          <w:b/>
          <w:sz w:val="28"/>
        </w:rPr>
      </w:pPr>
    </w:p>
    <w:p w:rsidR="00F02144" w:rsidRPr="00334990" w:rsidRDefault="00750DB9" w:rsidP="00334990">
      <w:pPr>
        <w:spacing w:after="240"/>
        <w:rPr>
          <w:rFonts w:asciiTheme="minorHAnsi" w:hAnsiTheme="minorHAnsi"/>
          <w:b/>
          <w:sz w:val="28"/>
        </w:rPr>
      </w:pPr>
      <w:r w:rsidRPr="00334990">
        <w:rPr>
          <w:rFonts w:asciiTheme="minorHAnsi" w:hAnsiTheme="minorHAnsi"/>
          <w:b/>
          <w:sz w:val="28"/>
        </w:rPr>
        <w:t xml:space="preserve">Draft </w:t>
      </w:r>
      <w:r w:rsidR="00F02144" w:rsidRPr="00334990">
        <w:rPr>
          <w:rFonts w:asciiTheme="minorHAnsi" w:hAnsiTheme="minorHAnsi"/>
          <w:b/>
          <w:sz w:val="28"/>
        </w:rPr>
        <w:t xml:space="preserve">Infrastructure Funding Gap </w:t>
      </w:r>
    </w:p>
    <w:p w:rsidR="00094AFD" w:rsidRPr="00334990" w:rsidRDefault="00094AFD" w:rsidP="00334990">
      <w:pPr>
        <w:spacing w:after="240"/>
        <w:rPr>
          <w:rFonts w:asciiTheme="minorHAnsi" w:hAnsiTheme="minorHAnsi"/>
          <w:sz w:val="28"/>
        </w:rPr>
      </w:pPr>
      <w:r w:rsidRPr="00334990">
        <w:rPr>
          <w:rFonts w:asciiTheme="minorHAnsi" w:hAnsiTheme="minorHAnsi"/>
          <w:sz w:val="28"/>
        </w:rPr>
        <w:t>Jan</w:t>
      </w:r>
      <w:r w:rsidR="00334990" w:rsidRPr="00334990">
        <w:rPr>
          <w:rFonts w:asciiTheme="minorHAnsi" w:hAnsiTheme="minorHAnsi"/>
          <w:sz w:val="28"/>
        </w:rPr>
        <w:t>uary</w:t>
      </w:r>
      <w:r w:rsidRPr="00334990">
        <w:rPr>
          <w:rFonts w:asciiTheme="minorHAnsi" w:hAnsiTheme="minorHAnsi"/>
          <w:sz w:val="28"/>
        </w:rPr>
        <w:t xml:space="preserve"> 2018</w:t>
      </w:r>
    </w:p>
    <w:p w:rsidR="00C87FD8" w:rsidRPr="004E3699" w:rsidRDefault="00AF0FC5" w:rsidP="004E3699">
      <w:pPr>
        <w:rPr>
          <w:rFonts w:asciiTheme="minorHAnsi" w:hAnsiTheme="minorHAnsi"/>
          <w:b/>
        </w:rPr>
      </w:pPr>
      <w:r w:rsidRPr="004E3699">
        <w:rPr>
          <w:rFonts w:asciiTheme="minorHAnsi" w:hAnsiTheme="minorHAnsi"/>
          <w:b/>
        </w:rPr>
        <w:t xml:space="preserve">Introduction </w:t>
      </w:r>
    </w:p>
    <w:p w:rsidR="002C7CD1" w:rsidRPr="00334990" w:rsidRDefault="00750DB9" w:rsidP="007109E9">
      <w:pPr>
        <w:pStyle w:val="ListParagraph"/>
        <w:numPr>
          <w:ilvl w:val="1"/>
          <w:numId w:val="1"/>
        </w:numPr>
        <w:ind w:left="709" w:hanging="709"/>
        <w:rPr>
          <w:rFonts w:asciiTheme="minorHAnsi" w:hAnsiTheme="minorHAnsi"/>
        </w:rPr>
      </w:pPr>
      <w:r w:rsidRPr="00334990">
        <w:rPr>
          <w:rFonts w:asciiTheme="minorHAnsi" w:hAnsiTheme="minorHAnsi"/>
        </w:rPr>
        <w:t xml:space="preserve">This </w:t>
      </w:r>
      <w:r w:rsidR="009065E3" w:rsidRPr="00334990">
        <w:rPr>
          <w:rFonts w:asciiTheme="minorHAnsi" w:hAnsiTheme="minorHAnsi"/>
        </w:rPr>
        <w:t xml:space="preserve">paper </w:t>
      </w:r>
      <w:r w:rsidR="002C7CD1" w:rsidRPr="00334990">
        <w:rPr>
          <w:rFonts w:asciiTheme="minorHAnsi" w:hAnsiTheme="minorHAnsi"/>
        </w:rPr>
        <w:t xml:space="preserve">has been produced to support the review of the Community Infrastructure Levy (CIL) Charging Schedule for developments within Oxford City. </w:t>
      </w:r>
      <w:r w:rsidR="002C418C" w:rsidRPr="00334990">
        <w:rPr>
          <w:rFonts w:asciiTheme="minorHAnsi" w:hAnsiTheme="minorHAnsi"/>
        </w:rPr>
        <w:t xml:space="preserve"> </w:t>
      </w:r>
    </w:p>
    <w:p w:rsidR="002C7CD1" w:rsidRPr="00334990" w:rsidRDefault="002C7CD1" w:rsidP="002C7CD1">
      <w:pPr>
        <w:pStyle w:val="ListParagraph"/>
        <w:ind w:left="709"/>
        <w:rPr>
          <w:rFonts w:asciiTheme="minorHAnsi" w:hAnsiTheme="minorHAnsi"/>
        </w:rPr>
      </w:pPr>
    </w:p>
    <w:p w:rsidR="002C7CD1" w:rsidRPr="00334990" w:rsidRDefault="002C7CD1" w:rsidP="002C7CD1">
      <w:pPr>
        <w:pStyle w:val="ListParagraph"/>
        <w:numPr>
          <w:ilvl w:val="1"/>
          <w:numId w:val="1"/>
        </w:numPr>
        <w:ind w:left="709" w:hanging="709"/>
        <w:rPr>
          <w:rFonts w:asciiTheme="minorHAnsi" w:hAnsiTheme="minorHAnsi"/>
        </w:rPr>
      </w:pPr>
      <w:r w:rsidRPr="00334990">
        <w:rPr>
          <w:rFonts w:asciiTheme="minorHAnsi" w:hAnsiTheme="minorHAnsi"/>
        </w:rPr>
        <w:t xml:space="preserve">Oxford City Council adopted its CIL Charging Schedule in October 2013 and is </w:t>
      </w:r>
      <w:r w:rsidR="002C418C" w:rsidRPr="00334990">
        <w:rPr>
          <w:rFonts w:asciiTheme="minorHAnsi" w:hAnsiTheme="minorHAnsi"/>
        </w:rPr>
        <w:t xml:space="preserve">currently undertaking a review of this </w:t>
      </w:r>
      <w:r w:rsidRPr="00334990">
        <w:rPr>
          <w:rFonts w:asciiTheme="minorHAnsi" w:hAnsiTheme="minorHAnsi"/>
        </w:rPr>
        <w:t xml:space="preserve">in support of the emerging Local Plan 2016-2036.  </w:t>
      </w:r>
    </w:p>
    <w:p w:rsidR="002C7CD1" w:rsidRPr="00334990" w:rsidRDefault="002C7CD1" w:rsidP="002C7CD1">
      <w:pPr>
        <w:pStyle w:val="ListParagraph"/>
        <w:rPr>
          <w:rFonts w:asciiTheme="minorHAnsi" w:hAnsiTheme="minorHAnsi"/>
        </w:rPr>
      </w:pPr>
    </w:p>
    <w:p w:rsidR="009065E3" w:rsidRDefault="002C418C" w:rsidP="002C418C">
      <w:pPr>
        <w:pStyle w:val="ListParagraph"/>
        <w:numPr>
          <w:ilvl w:val="1"/>
          <w:numId w:val="1"/>
        </w:numPr>
        <w:ind w:left="709" w:hanging="709"/>
        <w:rPr>
          <w:rFonts w:asciiTheme="minorHAnsi" w:hAnsiTheme="minorHAnsi"/>
        </w:rPr>
      </w:pPr>
      <w:r w:rsidRPr="00334990">
        <w:rPr>
          <w:rFonts w:asciiTheme="minorHAnsi" w:hAnsiTheme="minorHAnsi"/>
        </w:rPr>
        <w:t>The</w:t>
      </w:r>
      <w:r w:rsidR="009065E3" w:rsidRPr="00334990">
        <w:rPr>
          <w:rFonts w:asciiTheme="minorHAnsi" w:hAnsiTheme="minorHAnsi"/>
        </w:rPr>
        <w:t xml:space="preserve"> purpose of this paper is to collate information to demonstrate that a funding gap exists between the total cost of infrastructure necessary to support growth over the plan period and the a</w:t>
      </w:r>
      <w:r w:rsidR="00C569B1">
        <w:rPr>
          <w:rFonts w:asciiTheme="minorHAnsi" w:hAnsiTheme="minorHAnsi"/>
        </w:rPr>
        <w:t>mount of likely funding that could</w:t>
      </w:r>
      <w:r w:rsidR="009065E3" w:rsidRPr="00334990">
        <w:rPr>
          <w:rFonts w:asciiTheme="minorHAnsi" w:hAnsiTheme="minorHAnsi"/>
        </w:rPr>
        <w:t xml:space="preserve"> be secured from CIL during the plan period.  In doing so, this paper confirms the requirement set out in the CIL regulations, that charging authorities must demonstrate a gap between infrastructure requirements and available funding in order to provide evidence for the need to charge CIL.</w:t>
      </w:r>
    </w:p>
    <w:p w:rsidR="00C569B1" w:rsidRPr="00C569B1" w:rsidRDefault="00C569B1" w:rsidP="00C569B1">
      <w:pPr>
        <w:pStyle w:val="ListParagraph"/>
        <w:rPr>
          <w:rFonts w:asciiTheme="minorHAnsi" w:hAnsiTheme="minorHAnsi"/>
        </w:rPr>
      </w:pPr>
    </w:p>
    <w:p w:rsidR="00C569B1" w:rsidRPr="00334990" w:rsidRDefault="00C569B1" w:rsidP="002C418C">
      <w:pPr>
        <w:pStyle w:val="ListParagraph"/>
        <w:numPr>
          <w:ilvl w:val="1"/>
          <w:numId w:val="1"/>
        </w:numPr>
        <w:ind w:left="709" w:hanging="709"/>
        <w:rPr>
          <w:rFonts w:asciiTheme="minorHAnsi" w:hAnsiTheme="minorHAnsi"/>
        </w:rPr>
      </w:pPr>
      <w:r>
        <w:rPr>
          <w:rFonts w:asciiTheme="minorHAnsi" w:hAnsiTheme="minorHAnsi"/>
        </w:rPr>
        <w:t>CIL funding is never expected to be able to fund all infrastructure projects. Other sources of funding will be available which are detailed in this paper.</w:t>
      </w:r>
    </w:p>
    <w:p w:rsidR="009065E3" w:rsidRPr="00334990" w:rsidRDefault="009065E3" w:rsidP="009065E3">
      <w:pPr>
        <w:pStyle w:val="ListParagraph"/>
        <w:rPr>
          <w:rFonts w:asciiTheme="minorHAnsi" w:hAnsiTheme="minorHAnsi"/>
        </w:rPr>
      </w:pPr>
    </w:p>
    <w:p w:rsidR="001013A5" w:rsidRPr="004E3699" w:rsidRDefault="001013A5" w:rsidP="004E3699">
      <w:pPr>
        <w:rPr>
          <w:rFonts w:asciiTheme="minorHAnsi" w:hAnsiTheme="minorHAnsi"/>
          <w:b/>
        </w:rPr>
      </w:pPr>
      <w:r w:rsidRPr="004E3699">
        <w:rPr>
          <w:rFonts w:asciiTheme="minorHAnsi" w:hAnsiTheme="minorHAnsi"/>
          <w:b/>
        </w:rPr>
        <w:t>Infrastructure</w:t>
      </w:r>
      <w:r w:rsidR="004A1D29" w:rsidRPr="004E3699">
        <w:rPr>
          <w:rFonts w:asciiTheme="minorHAnsi" w:hAnsiTheme="minorHAnsi"/>
          <w:b/>
        </w:rPr>
        <w:t xml:space="preserve"> Costs</w:t>
      </w:r>
    </w:p>
    <w:p w:rsidR="004E3699" w:rsidRDefault="004A1D29" w:rsidP="004E3699">
      <w:pPr>
        <w:pStyle w:val="ListParagraph"/>
        <w:numPr>
          <w:ilvl w:val="1"/>
          <w:numId w:val="1"/>
        </w:numPr>
        <w:ind w:left="709" w:hanging="709"/>
        <w:rPr>
          <w:rFonts w:asciiTheme="minorHAnsi" w:hAnsiTheme="minorHAnsi"/>
        </w:rPr>
      </w:pPr>
      <w:r w:rsidRPr="00334990">
        <w:rPr>
          <w:rFonts w:asciiTheme="minorHAnsi" w:hAnsiTheme="minorHAnsi"/>
        </w:rPr>
        <w:t>To establish the estimated cost of infrastructure</w:t>
      </w:r>
      <w:r w:rsidR="00CD1B93">
        <w:rPr>
          <w:rFonts w:asciiTheme="minorHAnsi" w:hAnsiTheme="minorHAnsi"/>
        </w:rPr>
        <w:t>,</w:t>
      </w:r>
      <w:r w:rsidRPr="00334990">
        <w:rPr>
          <w:rFonts w:asciiTheme="minorHAnsi" w:hAnsiTheme="minorHAnsi"/>
        </w:rPr>
        <w:t xml:space="preserve"> the indicative list of infrastructure projects that are </w:t>
      </w:r>
      <w:r w:rsidRPr="00914077">
        <w:rPr>
          <w:rFonts w:asciiTheme="minorHAnsi" w:hAnsiTheme="minorHAnsi"/>
        </w:rPr>
        <w:t xml:space="preserve">considered critical or important to the delivery of the </w:t>
      </w:r>
      <w:r w:rsidR="00914077" w:rsidRPr="00914077">
        <w:rPr>
          <w:rFonts w:asciiTheme="minorHAnsi" w:hAnsiTheme="minorHAnsi"/>
        </w:rPr>
        <w:t xml:space="preserve">growth set out in the </w:t>
      </w:r>
      <w:r w:rsidRPr="00914077">
        <w:rPr>
          <w:rFonts w:asciiTheme="minorHAnsi" w:hAnsiTheme="minorHAnsi"/>
        </w:rPr>
        <w:t>Local Plan 2016-2036 have been used.  These infrastructure requirements</w:t>
      </w:r>
      <w:r w:rsidR="00914077" w:rsidRPr="00914077">
        <w:rPr>
          <w:rFonts w:asciiTheme="minorHAnsi" w:hAnsiTheme="minorHAnsi"/>
        </w:rPr>
        <w:t xml:space="preserve"> are drawn from the Oxfordshire Infrastructure Strategy for high level infrastructure and </w:t>
      </w:r>
      <w:r w:rsidR="001516F4">
        <w:rPr>
          <w:rFonts w:asciiTheme="minorHAnsi" w:hAnsiTheme="minorHAnsi"/>
        </w:rPr>
        <w:t xml:space="preserve">initial indications from </w:t>
      </w:r>
      <w:r w:rsidR="00914077">
        <w:rPr>
          <w:rFonts w:asciiTheme="minorHAnsi" w:hAnsiTheme="minorHAnsi"/>
        </w:rPr>
        <w:t>Oxford’s</w:t>
      </w:r>
      <w:r w:rsidR="00E17418" w:rsidRPr="00914077">
        <w:rPr>
          <w:rFonts w:asciiTheme="minorHAnsi" w:hAnsiTheme="minorHAnsi"/>
        </w:rPr>
        <w:t xml:space="preserve"> Infrastructure Delivery Plan (draft IDP 201</w:t>
      </w:r>
      <w:r w:rsidR="001516F4">
        <w:rPr>
          <w:rFonts w:asciiTheme="minorHAnsi" w:hAnsiTheme="minorHAnsi"/>
        </w:rPr>
        <w:t>8</w:t>
      </w:r>
      <w:r w:rsidR="00E17418" w:rsidRPr="00914077">
        <w:rPr>
          <w:rFonts w:asciiTheme="minorHAnsi" w:hAnsiTheme="minorHAnsi"/>
        </w:rPr>
        <w:t>)</w:t>
      </w:r>
      <w:r w:rsidR="00914077" w:rsidRPr="00914077">
        <w:rPr>
          <w:rFonts w:asciiTheme="minorHAnsi" w:hAnsiTheme="minorHAnsi"/>
        </w:rPr>
        <w:t xml:space="preserve"> for </w:t>
      </w:r>
      <w:r w:rsidR="00CD1B93">
        <w:rPr>
          <w:rFonts w:asciiTheme="minorHAnsi" w:hAnsiTheme="minorHAnsi"/>
        </w:rPr>
        <w:t xml:space="preserve">additional </w:t>
      </w:r>
      <w:r w:rsidR="00914077" w:rsidRPr="00914077">
        <w:rPr>
          <w:rFonts w:asciiTheme="minorHAnsi" w:hAnsiTheme="minorHAnsi"/>
        </w:rPr>
        <w:t>local level infrastructure.</w:t>
      </w:r>
    </w:p>
    <w:p w:rsidR="004E3699" w:rsidRDefault="004E3699" w:rsidP="004E3699">
      <w:pPr>
        <w:pStyle w:val="ListParagraph"/>
        <w:ind w:left="709"/>
        <w:rPr>
          <w:rFonts w:asciiTheme="minorHAnsi" w:hAnsiTheme="minorHAnsi"/>
        </w:rPr>
      </w:pPr>
    </w:p>
    <w:p w:rsidR="004E3699" w:rsidRPr="00334990" w:rsidRDefault="004E3699" w:rsidP="004E3699">
      <w:pPr>
        <w:pStyle w:val="ListParagraph"/>
        <w:ind w:left="0"/>
        <w:rPr>
          <w:rFonts w:asciiTheme="minorHAnsi" w:hAnsiTheme="minorHAnsi"/>
          <w:i/>
        </w:rPr>
      </w:pPr>
      <w:r w:rsidRPr="00334990">
        <w:rPr>
          <w:rFonts w:asciiTheme="minorHAnsi" w:hAnsiTheme="minorHAnsi"/>
          <w:i/>
        </w:rPr>
        <w:t>Oxfordshire Infrastructure Strategy (</w:t>
      </w:r>
      <w:proofErr w:type="spellStart"/>
      <w:r w:rsidRPr="00334990">
        <w:rPr>
          <w:rFonts w:asciiTheme="minorHAnsi" w:hAnsiTheme="minorHAnsi"/>
          <w:i/>
        </w:rPr>
        <w:t>OxIS</w:t>
      </w:r>
      <w:proofErr w:type="spellEnd"/>
      <w:r w:rsidRPr="00334990">
        <w:rPr>
          <w:rFonts w:asciiTheme="minorHAnsi" w:hAnsiTheme="minorHAnsi"/>
          <w:i/>
        </w:rPr>
        <w:t>)</w:t>
      </w:r>
      <w:r>
        <w:rPr>
          <w:rFonts w:asciiTheme="minorHAnsi" w:hAnsiTheme="minorHAnsi"/>
          <w:i/>
        </w:rPr>
        <w:t xml:space="preserve"> – Stage One (April 2017); Stage Two (Sept 2017)</w:t>
      </w:r>
    </w:p>
    <w:p w:rsidR="004E3699" w:rsidRPr="004E3699" w:rsidRDefault="00334990" w:rsidP="004E3699">
      <w:pPr>
        <w:pStyle w:val="ListParagraph"/>
        <w:numPr>
          <w:ilvl w:val="1"/>
          <w:numId w:val="1"/>
        </w:numPr>
        <w:ind w:left="709" w:hanging="709"/>
        <w:rPr>
          <w:rFonts w:asciiTheme="minorHAnsi" w:hAnsiTheme="minorHAnsi"/>
        </w:rPr>
      </w:pPr>
      <w:r w:rsidRPr="004E3699">
        <w:rPr>
          <w:rFonts w:asciiTheme="minorHAnsi" w:hAnsiTheme="minorHAnsi"/>
          <w:shd w:val="clear" w:color="auto" w:fill="FFFFFF"/>
        </w:rPr>
        <w:t xml:space="preserve">The Oxfordshire Growth Board commissioned </w:t>
      </w:r>
      <w:proofErr w:type="spellStart"/>
      <w:r w:rsidRPr="004E3699">
        <w:rPr>
          <w:rFonts w:asciiTheme="minorHAnsi" w:hAnsiTheme="minorHAnsi"/>
          <w:shd w:val="clear" w:color="auto" w:fill="FFFFFF"/>
        </w:rPr>
        <w:t>OxIS</w:t>
      </w:r>
      <w:proofErr w:type="spellEnd"/>
      <w:r w:rsidRPr="004E3699">
        <w:rPr>
          <w:rFonts w:asciiTheme="minorHAnsi" w:hAnsiTheme="minorHAnsi"/>
          <w:shd w:val="clear" w:color="auto" w:fill="FFFFFF"/>
        </w:rPr>
        <w:t xml:space="preserve"> to better understand the scale of the infrastructure challenges in Oxfordshire, the infrastructure required, and the likely costs and funding gaps, to support new homes and jobs.</w:t>
      </w:r>
    </w:p>
    <w:p w:rsidR="004E3699" w:rsidRPr="004E3699" w:rsidRDefault="004E3699" w:rsidP="004E3699">
      <w:pPr>
        <w:pStyle w:val="ListParagraph"/>
        <w:ind w:left="709"/>
        <w:rPr>
          <w:rFonts w:asciiTheme="minorHAnsi" w:hAnsiTheme="minorHAnsi"/>
        </w:rPr>
      </w:pPr>
    </w:p>
    <w:p w:rsidR="005B28BC" w:rsidRPr="005B28BC" w:rsidRDefault="00C569B1" w:rsidP="004E3699">
      <w:pPr>
        <w:pStyle w:val="ListParagraph"/>
        <w:numPr>
          <w:ilvl w:val="1"/>
          <w:numId w:val="1"/>
        </w:numPr>
        <w:ind w:left="709" w:hanging="709"/>
        <w:rPr>
          <w:rFonts w:asciiTheme="minorHAnsi" w:hAnsiTheme="minorHAnsi"/>
        </w:rPr>
      </w:pPr>
      <w:r w:rsidRPr="00C569B1">
        <w:rPr>
          <w:rFonts w:asciiTheme="minorHAnsi" w:hAnsiTheme="minorHAnsi"/>
        </w:rPr>
        <w:t xml:space="preserve">The strategy considers growth forecasts and associated infrastructure requirements </w:t>
      </w:r>
      <w:r>
        <w:rPr>
          <w:rFonts w:asciiTheme="minorHAnsi" w:hAnsiTheme="minorHAnsi"/>
        </w:rPr>
        <w:t>f</w:t>
      </w:r>
      <w:r w:rsidRPr="00C569B1">
        <w:rPr>
          <w:rFonts w:asciiTheme="minorHAnsi" w:hAnsiTheme="minorHAnsi"/>
        </w:rPr>
        <w:t xml:space="preserve">rom 2016 through to 2040. </w:t>
      </w:r>
      <w:r w:rsidR="005B28BC">
        <w:rPr>
          <w:rFonts w:asciiTheme="minorHAnsi" w:hAnsiTheme="minorHAnsi"/>
          <w:shd w:val="clear" w:color="auto" w:fill="FFFFFF"/>
        </w:rPr>
        <w:t xml:space="preserve">Oxfordshire is </w:t>
      </w:r>
      <w:r w:rsidR="005B28BC" w:rsidRPr="004E3699">
        <w:rPr>
          <w:rFonts w:asciiTheme="minorHAnsi" w:hAnsiTheme="minorHAnsi"/>
          <w:shd w:val="clear" w:color="auto" w:fill="FFFFFF"/>
        </w:rPr>
        <w:t xml:space="preserve">planning for 100,000 new homes and 85,000 new jobs in the period 2011-31, based on the scale of housing need identified in the Strategic Housing Market Assessment (SHMA) and forecast jobs growth in the Oxfordshire Strategic Economic Plan. </w:t>
      </w:r>
    </w:p>
    <w:p w:rsidR="005B28BC" w:rsidRPr="005B28BC" w:rsidRDefault="005B28BC" w:rsidP="005B28BC">
      <w:pPr>
        <w:pStyle w:val="ListParagraph"/>
        <w:rPr>
          <w:rFonts w:asciiTheme="minorHAnsi" w:hAnsiTheme="minorHAnsi"/>
        </w:rPr>
      </w:pPr>
    </w:p>
    <w:p w:rsidR="00C569B1" w:rsidRDefault="00C569B1" w:rsidP="004E3699">
      <w:pPr>
        <w:pStyle w:val="ListParagraph"/>
        <w:numPr>
          <w:ilvl w:val="1"/>
          <w:numId w:val="1"/>
        </w:numPr>
        <w:ind w:left="709" w:hanging="709"/>
        <w:rPr>
          <w:rFonts w:asciiTheme="minorHAnsi" w:hAnsiTheme="minorHAnsi"/>
        </w:rPr>
      </w:pPr>
      <w:r>
        <w:rPr>
          <w:rFonts w:asciiTheme="minorHAnsi" w:hAnsiTheme="minorHAnsi"/>
        </w:rPr>
        <w:lastRenderedPageBreak/>
        <w:t>Oxford’s Local Plan covers the period 2016-2036 so the strategy</w:t>
      </w:r>
      <w:r w:rsidR="005B28BC">
        <w:rPr>
          <w:rFonts w:asciiTheme="minorHAnsi" w:hAnsiTheme="minorHAnsi"/>
        </w:rPr>
        <w:t xml:space="preserve"> projects four</w:t>
      </w:r>
      <w:r>
        <w:rPr>
          <w:rFonts w:asciiTheme="minorHAnsi" w:hAnsiTheme="minorHAnsi"/>
        </w:rPr>
        <w:t xml:space="preserve"> years further than the Local Plan. The strategy explains that t</w:t>
      </w:r>
      <w:r w:rsidRPr="00C569B1">
        <w:rPr>
          <w:rFonts w:asciiTheme="minorHAnsi" w:hAnsiTheme="minorHAnsi"/>
        </w:rPr>
        <w:t>he period post 2031 to 2040 has less clarity and weight attached to it as it forecasts beyond the planning horizon of local authorities and infrastructure planning partners.</w:t>
      </w:r>
      <w:r>
        <w:rPr>
          <w:rFonts w:asciiTheme="minorHAnsi" w:hAnsiTheme="minorHAnsi"/>
        </w:rPr>
        <w:t xml:space="preserve"> </w:t>
      </w:r>
      <w:r w:rsidR="005B28BC">
        <w:rPr>
          <w:rFonts w:asciiTheme="minorHAnsi" w:hAnsiTheme="minorHAnsi"/>
        </w:rPr>
        <w:t>The vast majority of housing and economic development and associated infrastructure in planned up to 2031 so the additional four years is considered to have a negligible impact on the funding assessment.</w:t>
      </w:r>
    </w:p>
    <w:p w:rsidR="00C569B1" w:rsidRPr="00C569B1" w:rsidRDefault="00C569B1" w:rsidP="00C569B1">
      <w:pPr>
        <w:pStyle w:val="ListParagraph"/>
        <w:rPr>
          <w:rFonts w:asciiTheme="minorHAnsi" w:hAnsiTheme="minorHAnsi"/>
          <w:shd w:val="clear" w:color="auto" w:fill="FFFFFF"/>
        </w:rPr>
      </w:pPr>
    </w:p>
    <w:p w:rsidR="004E3699" w:rsidRPr="004E3699" w:rsidRDefault="00334990" w:rsidP="004E3699">
      <w:pPr>
        <w:pStyle w:val="ListParagraph"/>
        <w:numPr>
          <w:ilvl w:val="1"/>
          <w:numId w:val="1"/>
        </w:numPr>
        <w:ind w:left="709" w:hanging="709"/>
        <w:rPr>
          <w:rFonts w:asciiTheme="minorHAnsi" w:hAnsiTheme="minorHAnsi"/>
        </w:rPr>
      </w:pPr>
      <w:r w:rsidRPr="00C569B1">
        <w:rPr>
          <w:rFonts w:asciiTheme="minorHAnsi" w:hAnsiTheme="minorHAnsi"/>
          <w:shd w:val="clear" w:color="auto" w:fill="FFFFFF"/>
        </w:rPr>
        <w:t>The Oxfordshire Infrastructure Strategy looks long term and has a high level f</w:t>
      </w:r>
      <w:r w:rsidR="00914077" w:rsidRPr="00C569B1">
        <w:rPr>
          <w:rFonts w:asciiTheme="minorHAnsi" w:hAnsiTheme="minorHAnsi"/>
          <w:shd w:val="clear" w:color="auto" w:fill="FFFFFF"/>
        </w:rPr>
        <w:t xml:space="preserve">ocus, which brings together </w:t>
      </w:r>
      <w:proofErr w:type="gramStart"/>
      <w:r w:rsidR="00914077" w:rsidRPr="00C569B1">
        <w:rPr>
          <w:rFonts w:asciiTheme="minorHAnsi" w:hAnsiTheme="minorHAnsi"/>
          <w:shd w:val="clear" w:color="auto" w:fill="FFFFFF"/>
        </w:rPr>
        <w:t xml:space="preserve">all </w:t>
      </w:r>
      <w:r w:rsidRPr="00C569B1">
        <w:rPr>
          <w:rFonts w:asciiTheme="minorHAnsi" w:hAnsiTheme="minorHAnsi"/>
          <w:shd w:val="clear" w:color="auto" w:fill="FFFFFF"/>
        </w:rPr>
        <w:t>the</w:t>
      </w:r>
      <w:proofErr w:type="gramEnd"/>
      <w:r w:rsidRPr="00C569B1">
        <w:rPr>
          <w:rFonts w:asciiTheme="minorHAnsi" w:hAnsiTheme="minorHAnsi"/>
          <w:shd w:val="clear" w:color="auto" w:fill="FFFFFF"/>
        </w:rPr>
        <w:t xml:space="preserve"> strategic</w:t>
      </w:r>
      <w:r w:rsidRPr="004E3699">
        <w:rPr>
          <w:rFonts w:asciiTheme="minorHAnsi" w:hAnsiTheme="minorHAnsi"/>
          <w:shd w:val="clear" w:color="auto" w:fill="FFFFFF"/>
        </w:rPr>
        <w:t xml:space="preserve"> infrastructure that supports local plans. It looks at the county as a whole, as opposed to local plans which cover a district/city area. The strategy provides a ‘snap shot’ of infrastructure requirements reflecting development proposals at that time, and is based on common assumptions about funding, costs, and modelling. As such it should be read alongside local studies which have been carried out to support individual local plans, which may include more detailed analysis, such as District wide Infrastructure Delivery Plans</w:t>
      </w:r>
      <w:r w:rsidR="004E3699">
        <w:rPr>
          <w:rFonts w:asciiTheme="minorHAnsi" w:hAnsiTheme="minorHAnsi"/>
          <w:shd w:val="clear" w:color="auto" w:fill="FFFFFF"/>
        </w:rPr>
        <w:t>.</w:t>
      </w:r>
    </w:p>
    <w:p w:rsidR="004E3699" w:rsidRPr="004E3699" w:rsidRDefault="004E3699" w:rsidP="004E3699">
      <w:pPr>
        <w:pStyle w:val="ListParagraph"/>
        <w:rPr>
          <w:rFonts w:asciiTheme="minorHAnsi" w:hAnsiTheme="minorHAnsi"/>
          <w:shd w:val="clear" w:color="auto" w:fill="FFFFFF"/>
        </w:rPr>
      </w:pPr>
    </w:p>
    <w:p w:rsidR="004E3699" w:rsidRPr="004E3699" w:rsidRDefault="00914077" w:rsidP="004E3699">
      <w:pPr>
        <w:pStyle w:val="ListParagraph"/>
        <w:numPr>
          <w:ilvl w:val="1"/>
          <w:numId w:val="1"/>
        </w:numPr>
        <w:ind w:left="709" w:hanging="709"/>
        <w:rPr>
          <w:rFonts w:asciiTheme="minorHAnsi" w:hAnsiTheme="minorHAnsi"/>
        </w:rPr>
      </w:pPr>
      <w:proofErr w:type="spellStart"/>
      <w:r w:rsidRPr="004E3699">
        <w:rPr>
          <w:rFonts w:asciiTheme="minorHAnsi" w:hAnsiTheme="minorHAnsi"/>
          <w:shd w:val="clear" w:color="auto" w:fill="FFFFFF"/>
        </w:rPr>
        <w:t>OxIS</w:t>
      </w:r>
      <w:proofErr w:type="spellEnd"/>
      <w:r w:rsidR="00334990" w:rsidRPr="004E3699">
        <w:rPr>
          <w:rFonts w:asciiTheme="minorHAnsi" w:hAnsiTheme="minorHAnsi"/>
          <w:shd w:val="clear" w:color="auto" w:fill="FFFFFF"/>
        </w:rPr>
        <w:t xml:space="preserve"> is primarily designed to assess strategic infrastructure needs. Things that meet the local needs of communities such as community centres</w:t>
      </w:r>
      <w:r w:rsidRPr="004E3699">
        <w:rPr>
          <w:rFonts w:asciiTheme="minorHAnsi" w:hAnsiTheme="minorHAnsi"/>
          <w:shd w:val="clear" w:color="auto" w:fill="FFFFFF"/>
        </w:rPr>
        <w:t xml:space="preserve"> and leisure facilities</w:t>
      </w:r>
      <w:r w:rsidR="00334990" w:rsidRPr="004E3699">
        <w:rPr>
          <w:rFonts w:asciiTheme="minorHAnsi" w:hAnsiTheme="minorHAnsi"/>
          <w:shd w:val="clear" w:color="auto" w:fill="FFFFFF"/>
        </w:rPr>
        <w:t xml:space="preserve"> are outlined in </w:t>
      </w:r>
      <w:r w:rsidRPr="004E3699">
        <w:rPr>
          <w:rFonts w:asciiTheme="minorHAnsi" w:hAnsiTheme="minorHAnsi"/>
          <w:shd w:val="clear" w:color="auto" w:fill="FFFFFF"/>
        </w:rPr>
        <w:t xml:space="preserve">Oxford’s </w:t>
      </w:r>
      <w:r w:rsidR="00334990" w:rsidRPr="004E3699">
        <w:rPr>
          <w:rFonts w:asciiTheme="minorHAnsi" w:hAnsiTheme="minorHAnsi"/>
          <w:shd w:val="clear" w:color="auto" w:fill="FFFFFF"/>
        </w:rPr>
        <w:t>Infrastructure Delivery Plan</w:t>
      </w:r>
      <w:r w:rsidRPr="004E3699">
        <w:rPr>
          <w:rFonts w:asciiTheme="minorHAnsi" w:hAnsiTheme="minorHAnsi"/>
          <w:shd w:val="clear" w:color="auto" w:fill="FFFFFF"/>
        </w:rPr>
        <w:t>.</w:t>
      </w:r>
    </w:p>
    <w:p w:rsidR="004E3699" w:rsidRPr="004E3699" w:rsidRDefault="004E3699" w:rsidP="004E3699">
      <w:pPr>
        <w:pStyle w:val="ListParagraph"/>
        <w:rPr>
          <w:rFonts w:asciiTheme="minorHAnsi" w:hAnsiTheme="minorHAnsi"/>
          <w:shd w:val="clear" w:color="auto" w:fill="FFFFFF"/>
        </w:rPr>
      </w:pPr>
    </w:p>
    <w:p w:rsidR="004E3699" w:rsidRPr="004E3699" w:rsidRDefault="00914077" w:rsidP="004E3699">
      <w:pPr>
        <w:pStyle w:val="ListParagraph"/>
        <w:numPr>
          <w:ilvl w:val="1"/>
          <w:numId w:val="1"/>
        </w:numPr>
        <w:ind w:left="709" w:hanging="709"/>
        <w:rPr>
          <w:rFonts w:asciiTheme="minorHAnsi" w:hAnsiTheme="minorHAnsi"/>
        </w:rPr>
      </w:pPr>
      <w:r w:rsidRPr="004E3699">
        <w:rPr>
          <w:rFonts w:asciiTheme="minorHAnsi" w:hAnsiTheme="minorHAnsi"/>
          <w:shd w:val="clear" w:color="auto" w:fill="FFFFFF"/>
        </w:rPr>
        <w:t>The strategy draws evidence from a range of sources, including talking to utility and other infrastructure providers, local authority evidence, modelling of jobs and homes growth to roll forward the numbers to 2040, and the consultants’ independent expert experience of delivering major infrastructure schemes.</w:t>
      </w:r>
    </w:p>
    <w:p w:rsidR="004E3699" w:rsidRPr="004E3699" w:rsidRDefault="004E3699" w:rsidP="004E3699">
      <w:pPr>
        <w:pStyle w:val="ListParagraph"/>
        <w:rPr>
          <w:rFonts w:asciiTheme="minorHAnsi" w:hAnsiTheme="minorHAnsi"/>
        </w:rPr>
      </w:pPr>
    </w:p>
    <w:p w:rsidR="004E3699" w:rsidRDefault="00062A2E" w:rsidP="004E3699">
      <w:pPr>
        <w:pStyle w:val="ListParagraph"/>
        <w:numPr>
          <w:ilvl w:val="1"/>
          <w:numId w:val="1"/>
        </w:numPr>
        <w:ind w:left="709" w:hanging="709"/>
        <w:rPr>
          <w:rFonts w:asciiTheme="minorHAnsi" w:hAnsiTheme="minorHAnsi"/>
        </w:rPr>
      </w:pPr>
      <w:r>
        <w:rPr>
          <w:rFonts w:asciiTheme="minorHAnsi" w:hAnsiTheme="minorHAnsi"/>
        </w:rPr>
        <w:t xml:space="preserve">The identified infrastructure projects are listed in Appendix 1. </w:t>
      </w:r>
      <w:r w:rsidR="00003EA9">
        <w:rPr>
          <w:rFonts w:asciiTheme="minorHAnsi" w:hAnsiTheme="minorHAnsi"/>
        </w:rPr>
        <w:t>The summary of costs</w:t>
      </w:r>
      <w:r w:rsidR="00D54A83" w:rsidRPr="004E3699">
        <w:rPr>
          <w:rFonts w:asciiTheme="minorHAnsi" w:hAnsiTheme="minorHAnsi"/>
        </w:rPr>
        <w:t xml:space="preserve"> </w:t>
      </w:r>
      <w:r w:rsidR="00003EA9">
        <w:rPr>
          <w:rFonts w:asciiTheme="minorHAnsi" w:hAnsiTheme="minorHAnsi"/>
        </w:rPr>
        <w:t xml:space="preserve">to </w:t>
      </w:r>
      <w:r w:rsidR="00D54A83" w:rsidRPr="004E3699">
        <w:rPr>
          <w:rFonts w:asciiTheme="minorHAnsi" w:hAnsiTheme="minorHAnsi"/>
        </w:rPr>
        <w:t xml:space="preserve">deliver </w:t>
      </w:r>
      <w:r w:rsidR="00003EA9">
        <w:rPr>
          <w:rFonts w:asciiTheme="minorHAnsi" w:hAnsiTheme="minorHAnsi"/>
        </w:rPr>
        <w:t xml:space="preserve">infrastructure </w:t>
      </w:r>
      <w:r w:rsidR="00D54A83" w:rsidRPr="004E3699">
        <w:rPr>
          <w:rFonts w:asciiTheme="minorHAnsi" w:hAnsiTheme="minorHAnsi"/>
        </w:rPr>
        <w:t xml:space="preserve">projects </w:t>
      </w:r>
      <w:r w:rsidR="00003EA9">
        <w:rPr>
          <w:rFonts w:asciiTheme="minorHAnsi" w:hAnsiTheme="minorHAnsi"/>
        </w:rPr>
        <w:t>within the Oxford Corridor t</w:t>
      </w:r>
      <w:r w:rsidR="00003EA9" w:rsidRPr="004E3699">
        <w:rPr>
          <w:rFonts w:asciiTheme="minorHAnsi" w:hAnsiTheme="minorHAnsi"/>
        </w:rPr>
        <w:t xml:space="preserve">o </w:t>
      </w:r>
      <w:r w:rsidR="00D54A83" w:rsidRPr="004E3699">
        <w:rPr>
          <w:rFonts w:asciiTheme="minorHAnsi" w:hAnsiTheme="minorHAnsi"/>
        </w:rPr>
        <w:t>supporting s</w:t>
      </w:r>
      <w:r w:rsidR="00003EA9">
        <w:rPr>
          <w:rFonts w:asciiTheme="minorHAnsi" w:hAnsiTheme="minorHAnsi"/>
        </w:rPr>
        <w:t>trategic growth is set out in Table 1. This does not include the Regional/Countywide projects.</w:t>
      </w:r>
      <w:r w:rsidR="00D54A83" w:rsidRPr="004E3699">
        <w:rPr>
          <w:rFonts w:asciiTheme="minorHAnsi" w:hAnsiTheme="minorHAnsi"/>
        </w:rPr>
        <w:t xml:space="preserve"> </w:t>
      </w:r>
    </w:p>
    <w:p w:rsidR="004E3699" w:rsidRPr="00D54A83" w:rsidRDefault="004E3699" w:rsidP="004E3699">
      <w:pPr>
        <w:pStyle w:val="ListParagraph"/>
        <w:rPr>
          <w:rFonts w:asciiTheme="minorHAnsi" w:hAnsiTheme="minorHAnsi"/>
        </w:rPr>
      </w:pPr>
    </w:p>
    <w:tbl>
      <w:tblPr>
        <w:tblStyle w:val="TableGrid"/>
        <w:tblW w:w="0" w:type="auto"/>
        <w:tblInd w:w="817" w:type="dxa"/>
        <w:tblLook w:val="04A0" w:firstRow="1" w:lastRow="0" w:firstColumn="1" w:lastColumn="0" w:noHBand="0" w:noVBand="1"/>
      </w:tblPr>
      <w:tblGrid>
        <w:gridCol w:w="4293"/>
        <w:gridCol w:w="2228"/>
      </w:tblGrid>
      <w:tr w:rsidR="004E3699" w:rsidRPr="00D54A83" w:rsidTr="00003EA9">
        <w:tc>
          <w:tcPr>
            <w:tcW w:w="6521" w:type="dxa"/>
            <w:gridSpan w:val="2"/>
            <w:tcBorders>
              <w:top w:val="nil"/>
              <w:left w:val="nil"/>
              <w:right w:val="nil"/>
            </w:tcBorders>
          </w:tcPr>
          <w:p w:rsidR="004E3699" w:rsidRPr="009F4308" w:rsidRDefault="004E3699" w:rsidP="00003EA9">
            <w:pPr>
              <w:pStyle w:val="ListParagraph"/>
              <w:spacing w:after="120"/>
              <w:ind w:left="0"/>
              <w:rPr>
                <w:rFonts w:asciiTheme="minorHAnsi" w:hAnsiTheme="minorHAnsi"/>
                <w:b/>
              </w:rPr>
            </w:pPr>
            <w:r w:rsidRPr="009F4308">
              <w:rPr>
                <w:rFonts w:asciiTheme="minorHAnsi" w:hAnsiTheme="minorHAnsi"/>
                <w:b/>
              </w:rPr>
              <w:t xml:space="preserve">Table 1 – </w:t>
            </w:r>
            <w:r w:rsidR="00003EA9">
              <w:rPr>
                <w:rFonts w:asciiTheme="minorHAnsi" w:hAnsiTheme="minorHAnsi"/>
                <w:b/>
              </w:rPr>
              <w:t>Infrastructure identified for the “Oxford Corridor”</w:t>
            </w:r>
          </w:p>
        </w:tc>
      </w:tr>
      <w:tr w:rsidR="004E3699" w:rsidRPr="00D54A83" w:rsidTr="00003EA9">
        <w:tc>
          <w:tcPr>
            <w:tcW w:w="4293" w:type="dxa"/>
            <w:vAlign w:val="center"/>
          </w:tcPr>
          <w:p w:rsidR="004E3699" w:rsidRPr="00D54A83" w:rsidRDefault="004E3699" w:rsidP="00B531AA">
            <w:pPr>
              <w:pStyle w:val="ListParagraph"/>
              <w:spacing w:before="60" w:after="60"/>
              <w:ind w:left="0"/>
              <w:contextualSpacing w:val="0"/>
              <w:rPr>
                <w:rFonts w:asciiTheme="minorHAnsi" w:hAnsiTheme="minorHAnsi"/>
              </w:rPr>
            </w:pPr>
            <w:r w:rsidRPr="00D54A83">
              <w:rPr>
                <w:rFonts w:asciiTheme="minorHAnsi" w:hAnsiTheme="minorHAnsi"/>
              </w:rPr>
              <w:t>Costs:</w:t>
            </w:r>
          </w:p>
        </w:tc>
        <w:tc>
          <w:tcPr>
            <w:tcW w:w="2228" w:type="dxa"/>
            <w:shd w:val="clear" w:color="auto" w:fill="auto"/>
            <w:vAlign w:val="center"/>
          </w:tcPr>
          <w:p w:rsidR="004E3699" w:rsidRPr="005B28BC" w:rsidRDefault="004E3699" w:rsidP="00003EA9">
            <w:pPr>
              <w:pStyle w:val="ListParagraph"/>
              <w:spacing w:before="60" w:after="60"/>
              <w:ind w:left="0"/>
              <w:contextualSpacing w:val="0"/>
              <w:jc w:val="right"/>
              <w:rPr>
                <w:rFonts w:asciiTheme="minorHAnsi" w:hAnsiTheme="minorHAnsi"/>
              </w:rPr>
            </w:pPr>
            <w:r w:rsidRPr="005B28BC">
              <w:rPr>
                <w:rFonts w:asciiTheme="minorHAnsi" w:hAnsiTheme="minorHAnsi"/>
              </w:rPr>
              <w:t>£237,170,000</w:t>
            </w:r>
          </w:p>
        </w:tc>
      </w:tr>
      <w:tr w:rsidR="004E3699" w:rsidRPr="00D54A83" w:rsidTr="00003EA9">
        <w:trPr>
          <w:trHeight w:val="323"/>
        </w:trPr>
        <w:tc>
          <w:tcPr>
            <w:tcW w:w="4293" w:type="dxa"/>
            <w:vAlign w:val="center"/>
          </w:tcPr>
          <w:p w:rsidR="004E3699" w:rsidRPr="00D54A83" w:rsidRDefault="004E3699" w:rsidP="00B531AA">
            <w:pPr>
              <w:pStyle w:val="ListParagraph"/>
              <w:spacing w:before="60" w:after="60"/>
              <w:ind w:left="0"/>
              <w:contextualSpacing w:val="0"/>
              <w:rPr>
                <w:rFonts w:asciiTheme="minorHAnsi" w:hAnsiTheme="minorHAnsi"/>
              </w:rPr>
            </w:pPr>
            <w:r w:rsidRPr="00D54A83">
              <w:rPr>
                <w:rFonts w:asciiTheme="minorHAnsi" w:hAnsiTheme="minorHAnsi"/>
              </w:rPr>
              <w:t xml:space="preserve">Known Funding: </w:t>
            </w:r>
          </w:p>
        </w:tc>
        <w:tc>
          <w:tcPr>
            <w:tcW w:w="2228" w:type="dxa"/>
            <w:shd w:val="clear" w:color="auto" w:fill="auto"/>
            <w:vAlign w:val="center"/>
          </w:tcPr>
          <w:p w:rsidR="004E3699" w:rsidRPr="005B28BC" w:rsidRDefault="004E3699" w:rsidP="00003EA9">
            <w:pPr>
              <w:pStyle w:val="ListParagraph"/>
              <w:spacing w:before="60" w:after="60"/>
              <w:ind w:left="0"/>
              <w:contextualSpacing w:val="0"/>
              <w:jc w:val="right"/>
              <w:rPr>
                <w:rFonts w:asciiTheme="minorHAnsi" w:hAnsiTheme="minorHAnsi"/>
              </w:rPr>
            </w:pPr>
            <w:r w:rsidRPr="005B28BC">
              <w:rPr>
                <w:rFonts w:asciiTheme="minorHAnsi" w:hAnsiTheme="minorHAnsi"/>
              </w:rPr>
              <w:t>£59,010,000</w:t>
            </w:r>
          </w:p>
        </w:tc>
      </w:tr>
      <w:tr w:rsidR="004E3699" w:rsidRPr="00D54A83" w:rsidTr="00003EA9">
        <w:tc>
          <w:tcPr>
            <w:tcW w:w="4293" w:type="dxa"/>
            <w:vAlign w:val="center"/>
          </w:tcPr>
          <w:p w:rsidR="004E3699" w:rsidRPr="00D54A83" w:rsidRDefault="000F7FFC" w:rsidP="00B531AA">
            <w:pPr>
              <w:pStyle w:val="ListParagraph"/>
              <w:spacing w:before="60" w:after="60"/>
              <w:ind w:left="0"/>
              <w:contextualSpacing w:val="0"/>
              <w:rPr>
                <w:rFonts w:asciiTheme="minorHAnsi" w:hAnsiTheme="minorHAnsi"/>
              </w:rPr>
            </w:pPr>
            <w:r>
              <w:rPr>
                <w:rFonts w:asciiTheme="minorHAnsi" w:hAnsiTheme="minorHAnsi"/>
              </w:rPr>
              <w:t xml:space="preserve">Aggregate </w:t>
            </w:r>
            <w:r w:rsidRPr="004E3699">
              <w:rPr>
                <w:rFonts w:asciiTheme="minorHAnsi" w:hAnsiTheme="minorHAnsi"/>
              </w:rPr>
              <w:t>Funding Gap:</w:t>
            </w:r>
          </w:p>
        </w:tc>
        <w:tc>
          <w:tcPr>
            <w:tcW w:w="2228" w:type="dxa"/>
            <w:shd w:val="clear" w:color="auto" w:fill="auto"/>
            <w:vAlign w:val="center"/>
          </w:tcPr>
          <w:p w:rsidR="004E3699" w:rsidRPr="005B28BC" w:rsidRDefault="004E3699" w:rsidP="00003EA9">
            <w:pPr>
              <w:pStyle w:val="ListParagraph"/>
              <w:spacing w:before="60" w:after="60"/>
              <w:ind w:left="0"/>
              <w:contextualSpacing w:val="0"/>
              <w:jc w:val="right"/>
              <w:rPr>
                <w:rFonts w:asciiTheme="minorHAnsi" w:hAnsiTheme="minorHAnsi"/>
              </w:rPr>
            </w:pPr>
            <w:r w:rsidRPr="005B28BC">
              <w:rPr>
                <w:rFonts w:asciiTheme="minorHAnsi" w:hAnsiTheme="minorHAnsi"/>
              </w:rPr>
              <w:t>£178,160,000</w:t>
            </w:r>
          </w:p>
        </w:tc>
      </w:tr>
    </w:tbl>
    <w:p w:rsidR="004E3699" w:rsidRPr="004E3699" w:rsidRDefault="004E3699" w:rsidP="004E3699">
      <w:pPr>
        <w:pStyle w:val="ListParagraph"/>
        <w:rPr>
          <w:rFonts w:asciiTheme="minorHAnsi" w:hAnsiTheme="minorHAnsi"/>
          <w:sz w:val="20"/>
        </w:rPr>
      </w:pPr>
      <w:r w:rsidRPr="004E3699">
        <w:rPr>
          <w:rFonts w:asciiTheme="minorHAnsi" w:hAnsiTheme="minorHAnsi"/>
          <w:sz w:val="20"/>
        </w:rPr>
        <w:t xml:space="preserve">Source: </w:t>
      </w:r>
      <w:r w:rsidR="00003EA9">
        <w:rPr>
          <w:rFonts w:asciiTheme="minorHAnsi" w:hAnsiTheme="minorHAnsi"/>
          <w:sz w:val="20"/>
        </w:rPr>
        <w:t xml:space="preserve">Table 1.36, </w:t>
      </w:r>
      <w:proofErr w:type="spellStart"/>
      <w:r w:rsidRPr="004E3699">
        <w:rPr>
          <w:rFonts w:asciiTheme="minorHAnsi" w:hAnsiTheme="minorHAnsi"/>
          <w:sz w:val="20"/>
        </w:rPr>
        <w:t>OxIS</w:t>
      </w:r>
      <w:proofErr w:type="spellEnd"/>
      <w:r w:rsidRPr="004E3699">
        <w:rPr>
          <w:rFonts w:asciiTheme="minorHAnsi" w:hAnsiTheme="minorHAnsi"/>
          <w:sz w:val="20"/>
        </w:rPr>
        <w:t xml:space="preserve"> Stage 2 Study (2017), Oxfordshire Growth Board </w:t>
      </w:r>
    </w:p>
    <w:p w:rsidR="004E3699" w:rsidRPr="00334990" w:rsidRDefault="004E3699" w:rsidP="004E3699">
      <w:pPr>
        <w:pStyle w:val="ListParagraph"/>
        <w:rPr>
          <w:rFonts w:asciiTheme="minorHAnsi" w:hAnsiTheme="minorHAnsi"/>
        </w:rPr>
      </w:pPr>
    </w:p>
    <w:p w:rsidR="004E3699" w:rsidRPr="004E3699" w:rsidRDefault="004E3699" w:rsidP="004E3699">
      <w:pPr>
        <w:rPr>
          <w:rFonts w:asciiTheme="minorHAnsi" w:hAnsiTheme="minorHAnsi"/>
          <w:i/>
        </w:rPr>
      </w:pPr>
      <w:r w:rsidRPr="004E3699">
        <w:rPr>
          <w:rFonts w:asciiTheme="minorHAnsi" w:hAnsiTheme="minorHAnsi"/>
          <w:i/>
        </w:rPr>
        <w:t xml:space="preserve">Infrastructure Delivery Plan (IDP) – Draft </w:t>
      </w:r>
      <w:r w:rsidR="007E2DA9">
        <w:rPr>
          <w:rFonts w:asciiTheme="minorHAnsi" w:hAnsiTheme="minorHAnsi"/>
          <w:i/>
        </w:rPr>
        <w:t xml:space="preserve">due </w:t>
      </w:r>
      <w:r w:rsidR="001516F4">
        <w:rPr>
          <w:rFonts w:asciiTheme="minorHAnsi" w:hAnsiTheme="minorHAnsi"/>
          <w:i/>
        </w:rPr>
        <w:t>February</w:t>
      </w:r>
      <w:r w:rsidRPr="004E3699">
        <w:rPr>
          <w:rFonts w:asciiTheme="minorHAnsi" w:hAnsiTheme="minorHAnsi"/>
          <w:i/>
        </w:rPr>
        <w:t xml:space="preserve"> 2018</w:t>
      </w:r>
    </w:p>
    <w:p w:rsidR="004E3699" w:rsidRDefault="0080390A" w:rsidP="004E3699">
      <w:pPr>
        <w:pStyle w:val="ListParagraph"/>
        <w:numPr>
          <w:ilvl w:val="1"/>
          <w:numId w:val="1"/>
        </w:numPr>
        <w:ind w:left="709" w:hanging="709"/>
        <w:rPr>
          <w:rFonts w:asciiTheme="minorHAnsi" w:hAnsiTheme="minorHAnsi"/>
        </w:rPr>
      </w:pPr>
      <w:r w:rsidRPr="004E3699">
        <w:rPr>
          <w:rFonts w:asciiTheme="minorHAnsi" w:hAnsiTheme="minorHAnsi"/>
        </w:rPr>
        <w:t>The</w:t>
      </w:r>
      <w:r w:rsidR="00441741" w:rsidRPr="004E3699">
        <w:rPr>
          <w:rFonts w:asciiTheme="minorHAnsi" w:hAnsiTheme="minorHAnsi"/>
        </w:rPr>
        <w:t xml:space="preserve"> nature of infrastructure planning in Oxford is that </w:t>
      </w:r>
      <w:r w:rsidR="009F4308" w:rsidRPr="004E3699">
        <w:rPr>
          <w:rFonts w:asciiTheme="minorHAnsi" w:hAnsiTheme="minorHAnsi"/>
        </w:rPr>
        <w:t xml:space="preserve">infrastructure </w:t>
      </w:r>
      <w:r w:rsidR="00441741" w:rsidRPr="004E3699">
        <w:rPr>
          <w:rFonts w:asciiTheme="minorHAnsi" w:hAnsiTheme="minorHAnsi"/>
        </w:rPr>
        <w:t xml:space="preserve">projects can support a wide number of new developments due to Oxford being a tight knit urban area. For this reason, </w:t>
      </w:r>
      <w:proofErr w:type="spellStart"/>
      <w:r w:rsidR="00441741" w:rsidRPr="004E3699">
        <w:rPr>
          <w:rFonts w:asciiTheme="minorHAnsi" w:hAnsiTheme="minorHAnsi"/>
        </w:rPr>
        <w:t>OxIS</w:t>
      </w:r>
      <w:proofErr w:type="spellEnd"/>
      <w:r w:rsidR="00441741" w:rsidRPr="004E3699">
        <w:rPr>
          <w:rFonts w:asciiTheme="minorHAnsi" w:hAnsiTheme="minorHAnsi"/>
        </w:rPr>
        <w:t xml:space="preserve"> has comprehensively assessed the vast majority of the infrastructure needed to supports Oxford’s </w:t>
      </w:r>
      <w:r w:rsidR="009F4308" w:rsidRPr="004E3699">
        <w:rPr>
          <w:rFonts w:asciiTheme="minorHAnsi" w:hAnsiTheme="minorHAnsi"/>
        </w:rPr>
        <w:t xml:space="preserve">planned </w:t>
      </w:r>
      <w:r w:rsidR="00441741" w:rsidRPr="004E3699">
        <w:rPr>
          <w:rFonts w:asciiTheme="minorHAnsi" w:hAnsiTheme="minorHAnsi"/>
        </w:rPr>
        <w:t>growth</w:t>
      </w:r>
      <w:r w:rsidR="009F4308" w:rsidRPr="004E3699">
        <w:rPr>
          <w:rFonts w:asciiTheme="minorHAnsi" w:hAnsiTheme="minorHAnsi"/>
        </w:rPr>
        <w:t xml:space="preserve"> to 2040</w:t>
      </w:r>
      <w:r w:rsidR="00441741" w:rsidRPr="004E3699">
        <w:rPr>
          <w:rFonts w:asciiTheme="minorHAnsi" w:hAnsiTheme="minorHAnsi"/>
        </w:rPr>
        <w:t xml:space="preserve">. </w:t>
      </w:r>
      <w:r w:rsidR="009F4308" w:rsidRPr="004E3699">
        <w:rPr>
          <w:rFonts w:asciiTheme="minorHAnsi" w:hAnsiTheme="minorHAnsi"/>
        </w:rPr>
        <w:t xml:space="preserve">Appendix 1 of the </w:t>
      </w:r>
      <w:r w:rsidR="00441741" w:rsidRPr="004E3699">
        <w:rPr>
          <w:rFonts w:asciiTheme="minorHAnsi" w:hAnsiTheme="minorHAnsi"/>
        </w:rPr>
        <w:t>IDP refers</w:t>
      </w:r>
      <w:r w:rsidR="009F4308" w:rsidRPr="004E3699">
        <w:rPr>
          <w:rFonts w:asciiTheme="minorHAnsi" w:hAnsiTheme="minorHAnsi"/>
        </w:rPr>
        <w:t xml:space="preserve"> to these projects in detail</w:t>
      </w:r>
      <w:r w:rsidR="00441741" w:rsidRPr="004E3699">
        <w:rPr>
          <w:rFonts w:asciiTheme="minorHAnsi" w:hAnsiTheme="minorHAnsi"/>
        </w:rPr>
        <w:t>.</w:t>
      </w:r>
    </w:p>
    <w:p w:rsidR="004E3699" w:rsidRDefault="004E3699" w:rsidP="004E3699">
      <w:pPr>
        <w:pStyle w:val="ListParagraph"/>
        <w:ind w:left="709"/>
        <w:rPr>
          <w:rFonts w:asciiTheme="minorHAnsi" w:hAnsiTheme="minorHAnsi"/>
        </w:rPr>
      </w:pPr>
    </w:p>
    <w:p w:rsidR="004E3699" w:rsidRDefault="00441741" w:rsidP="004E3699">
      <w:pPr>
        <w:pStyle w:val="ListParagraph"/>
        <w:numPr>
          <w:ilvl w:val="1"/>
          <w:numId w:val="1"/>
        </w:numPr>
        <w:ind w:left="709" w:hanging="709"/>
        <w:rPr>
          <w:rFonts w:asciiTheme="minorHAnsi" w:hAnsiTheme="minorHAnsi"/>
        </w:rPr>
      </w:pPr>
      <w:r w:rsidRPr="004E3699">
        <w:rPr>
          <w:rFonts w:asciiTheme="minorHAnsi" w:hAnsiTheme="minorHAnsi"/>
        </w:rPr>
        <w:t>In addition, the</w:t>
      </w:r>
      <w:r w:rsidR="004302AE">
        <w:rPr>
          <w:rFonts w:asciiTheme="minorHAnsi" w:hAnsiTheme="minorHAnsi"/>
        </w:rPr>
        <w:t xml:space="preserve"> IDP will set</w:t>
      </w:r>
      <w:r w:rsidR="0080390A" w:rsidRPr="004E3699">
        <w:rPr>
          <w:rFonts w:asciiTheme="minorHAnsi" w:hAnsiTheme="minorHAnsi"/>
        </w:rPr>
        <w:t xml:space="preserve"> out </w:t>
      </w:r>
      <w:r w:rsidRPr="004E3699">
        <w:rPr>
          <w:rFonts w:asciiTheme="minorHAnsi" w:hAnsiTheme="minorHAnsi"/>
        </w:rPr>
        <w:t>some</w:t>
      </w:r>
      <w:r w:rsidR="0080390A" w:rsidRPr="004E3699">
        <w:rPr>
          <w:rFonts w:asciiTheme="minorHAnsi" w:hAnsiTheme="minorHAnsi"/>
        </w:rPr>
        <w:t xml:space="preserve"> local infrastructure </w:t>
      </w:r>
      <w:r w:rsidRPr="004E3699">
        <w:rPr>
          <w:rFonts w:asciiTheme="minorHAnsi" w:hAnsiTheme="minorHAnsi"/>
        </w:rPr>
        <w:t xml:space="preserve">projects to support </w:t>
      </w:r>
      <w:r w:rsidR="00CB02FB" w:rsidRPr="004E3699">
        <w:rPr>
          <w:rFonts w:asciiTheme="minorHAnsi" w:hAnsiTheme="minorHAnsi"/>
        </w:rPr>
        <w:t>growing communities and the improvement of facilities</w:t>
      </w:r>
      <w:r w:rsidR="009F4308" w:rsidRPr="004E3699">
        <w:rPr>
          <w:rFonts w:asciiTheme="minorHAnsi" w:hAnsiTheme="minorHAnsi"/>
        </w:rPr>
        <w:t xml:space="preserve"> that are part of the City Council’s Capital Programme and Community Centres Strategy</w:t>
      </w:r>
      <w:r w:rsidRPr="004E3699">
        <w:rPr>
          <w:rFonts w:asciiTheme="minorHAnsi" w:hAnsiTheme="minorHAnsi"/>
        </w:rPr>
        <w:t>.</w:t>
      </w:r>
      <w:r w:rsidR="00062A2E">
        <w:rPr>
          <w:rFonts w:asciiTheme="minorHAnsi" w:hAnsiTheme="minorHAnsi"/>
        </w:rPr>
        <w:t xml:space="preserve"> The identified local </w:t>
      </w:r>
      <w:r w:rsidR="00062A2E">
        <w:rPr>
          <w:rFonts w:asciiTheme="minorHAnsi" w:hAnsiTheme="minorHAnsi"/>
        </w:rPr>
        <w:lastRenderedPageBreak/>
        <w:t>infrastructure projects are at Appendix 2.</w:t>
      </w:r>
      <w:r w:rsidR="004302AE">
        <w:rPr>
          <w:rFonts w:asciiTheme="minorHAnsi" w:hAnsiTheme="minorHAnsi"/>
        </w:rPr>
        <w:t xml:space="preserve"> The IDP is being drafted and therefore the projects list and funding gap may be further refined.</w:t>
      </w:r>
    </w:p>
    <w:tbl>
      <w:tblPr>
        <w:tblStyle w:val="TableGrid"/>
        <w:tblW w:w="0" w:type="auto"/>
        <w:tblInd w:w="817" w:type="dxa"/>
        <w:tblLook w:val="04A0" w:firstRow="1" w:lastRow="0" w:firstColumn="1" w:lastColumn="0" w:noHBand="0" w:noVBand="1"/>
      </w:tblPr>
      <w:tblGrid>
        <w:gridCol w:w="4293"/>
        <w:gridCol w:w="2228"/>
      </w:tblGrid>
      <w:tr w:rsidR="004E3699" w:rsidRPr="00D54A83" w:rsidTr="00003EA9">
        <w:tc>
          <w:tcPr>
            <w:tcW w:w="6521" w:type="dxa"/>
            <w:gridSpan w:val="2"/>
            <w:tcBorders>
              <w:top w:val="nil"/>
              <w:left w:val="nil"/>
              <w:right w:val="nil"/>
            </w:tcBorders>
          </w:tcPr>
          <w:p w:rsidR="004E3699" w:rsidRDefault="004E3699" w:rsidP="004E3699">
            <w:pPr>
              <w:spacing w:after="120"/>
              <w:rPr>
                <w:rFonts w:asciiTheme="minorHAnsi" w:hAnsiTheme="minorHAnsi"/>
                <w:b/>
              </w:rPr>
            </w:pPr>
          </w:p>
          <w:p w:rsidR="004E3699" w:rsidRPr="004E3699" w:rsidRDefault="004E3699" w:rsidP="004E3699">
            <w:pPr>
              <w:spacing w:after="120"/>
              <w:rPr>
                <w:rFonts w:asciiTheme="minorHAnsi" w:hAnsiTheme="minorHAnsi"/>
                <w:b/>
              </w:rPr>
            </w:pPr>
            <w:r w:rsidRPr="004E3699">
              <w:rPr>
                <w:rFonts w:asciiTheme="minorHAnsi" w:hAnsiTheme="minorHAnsi"/>
                <w:b/>
              </w:rPr>
              <w:t>Table 2 – Local infrastructure projects</w:t>
            </w:r>
          </w:p>
        </w:tc>
      </w:tr>
      <w:tr w:rsidR="004E3699" w:rsidRPr="00D54A83" w:rsidTr="00003EA9">
        <w:tc>
          <w:tcPr>
            <w:tcW w:w="4293" w:type="dxa"/>
            <w:vAlign w:val="center"/>
          </w:tcPr>
          <w:p w:rsidR="004E3699" w:rsidRPr="004E3699" w:rsidRDefault="004E3699" w:rsidP="00B531AA">
            <w:pPr>
              <w:pStyle w:val="ListParagraph"/>
              <w:spacing w:before="60" w:after="60"/>
              <w:ind w:left="0"/>
              <w:contextualSpacing w:val="0"/>
              <w:rPr>
                <w:rFonts w:asciiTheme="minorHAnsi" w:hAnsiTheme="minorHAnsi"/>
              </w:rPr>
            </w:pPr>
            <w:r w:rsidRPr="004E3699">
              <w:rPr>
                <w:rFonts w:asciiTheme="minorHAnsi" w:hAnsiTheme="minorHAnsi"/>
              </w:rPr>
              <w:t>Costs:</w:t>
            </w:r>
          </w:p>
        </w:tc>
        <w:tc>
          <w:tcPr>
            <w:tcW w:w="2228" w:type="dxa"/>
            <w:vAlign w:val="center"/>
          </w:tcPr>
          <w:p w:rsidR="004E3699" w:rsidRPr="00CC24B1" w:rsidRDefault="004E3699" w:rsidP="004302AE">
            <w:pPr>
              <w:pStyle w:val="ListParagraph"/>
              <w:spacing w:before="60" w:after="60"/>
              <w:ind w:left="0"/>
              <w:contextualSpacing w:val="0"/>
              <w:jc w:val="right"/>
              <w:rPr>
                <w:rFonts w:asciiTheme="minorHAnsi" w:hAnsiTheme="minorHAnsi"/>
              </w:rPr>
            </w:pPr>
            <w:r w:rsidRPr="00CC24B1">
              <w:rPr>
                <w:rFonts w:ascii="Calibri" w:eastAsia="Times New Roman" w:hAnsi="Calibri" w:cs="Times New Roman"/>
                <w:color w:val="000000"/>
                <w:lang w:eastAsia="en-GB"/>
              </w:rPr>
              <w:t>£</w:t>
            </w:r>
            <w:r w:rsidR="004302AE" w:rsidRPr="00CC24B1">
              <w:rPr>
                <w:rFonts w:ascii="Calibri" w:eastAsia="Times New Roman" w:hAnsi="Calibri" w:cs="Times New Roman"/>
                <w:color w:val="000000"/>
                <w:lang w:eastAsia="en-GB"/>
              </w:rPr>
              <w:t>14,548,400</w:t>
            </w:r>
          </w:p>
        </w:tc>
      </w:tr>
      <w:tr w:rsidR="004E3699" w:rsidRPr="00D54A83" w:rsidTr="00003EA9">
        <w:tc>
          <w:tcPr>
            <w:tcW w:w="4293" w:type="dxa"/>
            <w:vAlign w:val="center"/>
          </w:tcPr>
          <w:p w:rsidR="004E3699" w:rsidRPr="004E3699" w:rsidRDefault="004E3699" w:rsidP="00B531AA">
            <w:pPr>
              <w:pStyle w:val="ListParagraph"/>
              <w:spacing w:before="60" w:after="60"/>
              <w:ind w:left="0"/>
              <w:contextualSpacing w:val="0"/>
              <w:rPr>
                <w:rFonts w:asciiTheme="minorHAnsi" w:hAnsiTheme="minorHAnsi"/>
              </w:rPr>
            </w:pPr>
            <w:r w:rsidRPr="004E3699">
              <w:rPr>
                <w:rFonts w:asciiTheme="minorHAnsi" w:hAnsiTheme="minorHAnsi"/>
              </w:rPr>
              <w:t xml:space="preserve">Known Funding: </w:t>
            </w:r>
          </w:p>
        </w:tc>
        <w:tc>
          <w:tcPr>
            <w:tcW w:w="2228" w:type="dxa"/>
            <w:vAlign w:val="center"/>
          </w:tcPr>
          <w:p w:rsidR="004E3699" w:rsidRPr="00CC24B1" w:rsidRDefault="004E3699" w:rsidP="004302AE">
            <w:pPr>
              <w:pStyle w:val="ListParagraph"/>
              <w:spacing w:before="60" w:after="60"/>
              <w:ind w:left="0"/>
              <w:contextualSpacing w:val="0"/>
              <w:jc w:val="right"/>
              <w:rPr>
                <w:rFonts w:asciiTheme="minorHAnsi" w:hAnsiTheme="minorHAnsi"/>
              </w:rPr>
            </w:pPr>
            <w:r w:rsidRPr="00CC24B1">
              <w:rPr>
                <w:rFonts w:ascii="Calibri" w:eastAsia="Times New Roman" w:hAnsi="Calibri" w:cs="Times New Roman"/>
                <w:color w:val="000000"/>
                <w:lang w:eastAsia="en-GB"/>
              </w:rPr>
              <w:t>£</w:t>
            </w:r>
            <w:r w:rsidR="004302AE" w:rsidRPr="00CC24B1">
              <w:rPr>
                <w:rFonts w:ascii="Calibri" w:eastAsia="Times New Roman" w:hAnsi="Calibri" w:cs="Times New Roman"/>
                <w:color w:val="000000"/>
                <w:lang w:eastAsia="en-GB"/>
              </w:rPr>
              <w:t>10,020,000</w:t>
            </w:r>
          </w:p>
        </w:tc>
      </w:tr>
      <w:tr w:rsidR="004E3699" w:rsidRPr="00D54A83" w:rsidTr="00003EA9">
        <w:tc>
          <w:tcPr>
            <w:tcW w:w="4293" w:type="dxa"/>
            <w:vAlign w:val="center"/>
          </w:tcPr>
          <w:p w:rsidR="004E3699" w:rsidRPr="004E3699" w:rsidRDefault="000F7FFC" w:rsidP="00B531AA">
            <w:pPr>
              <w:pStyle w:val="ListParagraph"/>
              <w:spacing w:before="60" w:after="60"/>
              <w:ind w:left="0"/>
              <w:contextualSpacing w:val="0"/>
              <w:rPr>
                <w:rFonts w:asciiTheme="minorHAnsi" w:hAnsiTheme="minorHAnsi"/>
              </w:rPr>
            </w:pPr>
            <w:r>
              <w:rPr>
                <w:rFonts w:asciiTheme="minorHAnsi" w:hAnsiTheme="minorHAnsi"/>
              </w:rPr>
              <w:t xml:space="preserve">Aggregate </w:t>
            </w:r>
            <w:r w:rsidR="004E3699" w:rsidRPr="004E3699">
              <w:rPr>
                <w:rFonts w:asciiTheme="minorHAnsi" w:hAnsiTheme="minorHAnsi"/>
              </w:rPr>
              <w:t>Funding Gap:</w:t>
            </w:r>
          </w:p>
        </w:tc>
        <w:tc>
          <w:tcPr>
            <w:tcW w:w="2228" w:type="dxa"/>
            <w:vAlign w:val="center"/>
          </w:tcPr>
          <w:p w:rsidR="004E3699" w:rsidRPr="00CC24B1" w:rsidRDefault="004E3699" w:rsidP="004302AE">
            <w:pPr>
              <w:pStyle w:val="ListParagraph"/>
              <w:spacing w:before="60" w:after="60"/>
              <w:ind w:left="0"/>
              <w:contextualSpacing w:val="0"/>
              <w:jc w:val="right"/>
              <w:rPr>
                <w:rFonts w:asciiTheme="minorHAnsi" w:hAnsiTheme="minorHAnsi"/>
              </w:rPr>
            </w:pPr>
            <w:r w:rsidRPr="00CC24B1">
              <w:rPr>
                <w:rFonts w:ascii="Calibri" w:eastAsia="Times New Roman" w:hAnsi="Calibri" w:cs="Times New Roman"/>
                <w:color w:val="000000"/>
                <w:lang w:eastAsia="en-GB"/>
              </w:rPr>
              <w:t>£</w:t>
            </w:r>
            <w:r w:rsidR="004302AE" w:rsidRPr="00CC24B1">
              <w:rPr>
                <w:rFonts w:ascii="Calibri" w:eastAsia="Times New Roman" w:hAnsi="Calibri" w:cs="Times New Roman"/>
                <w:color w:val="000000"/>
                <w:lang w:eastAsia="en-GB"/>
              </w:rPr>
              <w:t>4,528,400</w:t>
            </w:r>
          </w:p>
        </w:tc>
      </w:tr>
    </w:tbl>
    <w:p w:rsidR="004E3699" w:rsidRPr="009F4308" w:rsidRDefault="004E3699" w:rsidP="004E3699">
      <w:pPr>
        <w:rPr>
          <w:rFonts w:asciiTheme="minorHAnsi" w:hAnsiTheme="minorHAnsi"/>
          <w:sz w:val="20"/>
        </w:rPr>
      </w:pPr>
      <w:r>
        <w:rPr>
          <w:rFonts w:asciiTheme="minorHAnsi" w:hAnsiTheme="minorHAnsi"/>
        </w:rPr>
        <w:tab/>
      </w:r>
      <w:r w:rsidRPr="009F4308">
        <w:rPr>
          <w:rFonts w:asciiTheme="minorHAnsi" w:hAnsiTheme="minorHAnsi"/>
          <w:sz w:val="20"/>
        </w:rPr>
        <w:t xml:space="preserve">Source: </w:t>
      </w:r>
      <w:r>
        <w:rPr>
          <w:rFonts w:asciiTheme="minorHAnsi" w:hAnsiTheme="minorHAnsi"/>
          <w:sz w:val="20"/>
        </w:rPr>
        <w:t xml:space="preserve">Infrastructure Delivery Plan (Draft </w:t>
      </w:r>
      <w:r w:rsidR="007E2DA9">
        <w:rPr>
          <w:rFonts w:asciiTheme="minorHAnsi" w:hAnsiTheme="minorHAnsi"/>
          <w:sz w:val="20"/>
        </w:rPr>
        <w:t>due</w:t>
      </w:r>
      <w:r w:rsidR="001516F4">
        <w:rPr>
          <w:rFonts w:asciiTheme="minorHAnsi" w:hAnsiTheme="minorHAnsi"/>
          <w:sz w:val="20"/>
        </w:rPr>
        <w:t xml:space="preserve"> February</w:t>
      </w:r>
      <w:r>
        <w:rPr>
          <w:rFonts w:asciiTheme="minorHAnsi" w:hAnsiTheme="minorHAnsi"/>
          <w:sz w:val="20"/>
        </w:rPr>
        <w:t xml:space="preserve"> 2018)</w:t>
      </w:r>
    </w:p>
    <w:p w:rsidR="004E3699" w:rsidRDefault="004E3699" w:rsidP="004E3699">
      <w:pPr>
        <w:rPr>
          <w:rFonts w:asciiTheme="minorHAnsi" w:hAnsiTheme="minorHAnsi"/>
          <w:b/>
        </w:rPr>
      </w:pPr>
    </w:p>
    <w:p w:rsidR="004E3699" w:rsidRPr="004E3699" w:rsidRDefault="004E3699" w:rsidP="004E3699">
      <w:pPr>
        <w:rPr>
          <w:rFonts w:asciiTheme="minorHAnsi" w:hAnsiTheme="minorHAnsi"/>
          <w:b/>
        </w:rPr>
      </w:pPr>
      <w:r w:rsidRPr="004E3699">
        <w:rPr>
          <w:rFonts w:asciiTheme="minorHAnsi" w:hAnsiTheme="minorHAnsi"/>
          <w:b/>
        </w:rPr>
        <w:t>Planned Growth</w:t>
      </w:r>
    </w:p>
    <w:p w:rsidR="00184E11" w:rsidRPr="004E3699" w:rsidRDefault="001013A5" w:rsidP="004E3699">
      <w:pPr>
        <w:pStyle w:val="ListParagraph"/>
        <w:numPr>
          <w:ilvl w:val="1"/>
          <w:numId w:val="1"/>
        </w:numPr>
        <w:ind w:left="709" w:hanging="709"/>
        <w:rPr>
          <w:rFonts w:asciiTheme="minorHAnsi" w:hAnsiTheme="minorHAnsi"/>
        </w:rPr>
      </w:pPr>
      <w:r w:rsidRPr="004E3699">
        <w:rPr>
          <w:rFonts w:asciiTheme="minorHAnsi" w:hAnsiTheme="minorHAnsi"/>
        </w:rPr>
        <w:t>The most up to date Housing and Employment Land Availability Assessment (HELAA) is the Oxford City Council HELAA 2016.  This</w:t>
      </w:r>
      <w:r w:rsidR="00184E11" w:rsidRPr="004E3699">
        <w:rPr>
          <w:rFonts w:asciiTheme="minorHAnsi" w:hAnsiTheme="minorHAnsi"/>
        </w:rPr>
        <w:t xml:space="preserve"> provides background evidence on the potential availability of land in Oxford for housing and economic uses and the choices available for delivering sites.</w:t>
      </w:r>
    </w:p>
    <w:p w:rsidR="00184E11" w:rsidRPr="00334990" w:rsidRDefault="00184E11" w:rsidP="00184E11">
      <w:pPr>
        <w:pStyle w:val="ListParagraph"/>
        <w:ind w:left="709"/>
        <w:rPr>
          <w:rFonts w:asciiTheme="minorHAnsi" w:hAnsiTheme="minorHAnsi"/>
        </w:rPr>
      </w:pPr>
    </w:p>
    <w:p w:rsidR="00AB2D76" w:rsidRPr="00334990" w:rsidRDefault="00184E11" w:rsidP="00184E11">
      <w:pPr>
        <w:pStyle w:val="ListParagraph"/>
        <w:numPr>
          <w:ilvl w:val="1"/>
          <w:numId w:val="1"/>
        </w:numPr>
        <w:ind w:left="709" w:hanging="709"/>
        <w:rPr>
          <w:rFonts w:asciiTheme="minorHAnsi" w:hAnsiTheme="minorHAnsi"/>
        </w:rPr>
      </w:pPr>
      <w:r w:rsidRPr="00334990">
        <w:rPr>
          <w:rFonts w:asciiTheme="minorHAnsi" w:hAnsiTheme="minorHAnsi"/>
        </w:rPr>
        <w:t>The HELAA</w:t>
      </w:r>
      <w:r w:rsidR="001013A5" w:rsidRPr="00334990">
        <w:rPr>
          <w:rFonts w:asciiTheme="minorHAnsi" w:hAnsiTheme="minorHAnsi"/>
        </w:rPr>
        <w:t xml:space="preserve"> identifies that there is potential capacity in Oxford to accommodate around 7,511 additional homes. </w:t>
      </w:r>
    </w:p>
    <w:p w:rsidR="00AB2D76" w:rsidRPr="00334990" w:rsidRDefault="00AB2D76" w:rsidP="00AB2D76">
      <w:pPr>
        <w:pStyle w:val="ListParagraph"/>
        <w:rPr>
          <w:rFonts w:asciiTheme="minorHAnsi" w:hAnsiTheme="minorHAnsi"/>
        </w:rPr>
      </w:pPr>
      <w:r w:rsidRPr="00334990">
        <w:rPr>
          <w:rFonts w:asciiTheme="minorHAnsi" w:hAnsiTheme="minorHAnsi"/>
        </w:rPr>
        <w:t>This is made up of:</w:t>
      </w:r>
    </w:p>
    <w:p w:rsidR="00AB2D76" w:rsidRPr="00334990" w:rsidRDefault="00AB2D76" w:rsidP="0057174F">
      <w:pPr>
        <w:pStyle w:val="ListParagraph"/>
        <w:numPr>
          <w:ilvl w:val="0"/>
          <w:numId w:val="12"/>
        </w:numPr>
        <w:ind w:hanging="306"/>
        <w:rPr>
          <w:rFonts w:asciiTheme="minorHAnsi" w:hAnsiTheme="minorHAnsi"/>
        </w:rPr>
      </w:pPr>
      <w:r w:rsidRPr="00334990">
        <w:rPr>
          <w:rFonts w:asciiTheme="minorHAnsi" w:hAnsiTheme="minorHAnsi"/>
        </w:rPr>
        <w:t>6,356 homes from identified sites;</w:t>
      </w:r>
    </w:p>
    <w:p w:rsidR="00AB2D76" w:rsidRPr="00334990" w:rsidRDefault="00AB2D76" w:rsidP="0057174F">
      <w:pPr>
        <w:pStyle w:val="ListParagraph"/>
        <w:numPr>
          <w:ilvl w:val="0"/>
          <w:numId w:val="12"/>
        </w:numPr>
        <w:ind w:hanging="306"/>
        <w:rPr>
          <w:rFonts w:asciiTheme="minorHAnsi" w:hAnsiTheme="minorHAnsi"/>
        </w:rPr>
      </w:pPr>
      <w:r w:rsidRPr="00334990">
        <w:rPr>
          <w:rFonts w:asciiTheme="minorHAnsi" w:hAnsiTheme="minorHAnsi"/>
        </w:rPr>
        <w:t>135 homes from small site commitments</w:t>
      </w:r>
    </w:p>
    <w:p w:rsidR="00AB2D76" w:rsidRPr="00334990" w:rsidRDefault="00AB2D76" w:rsidP="0057174F">
      <w:pPr>
        <w:pStyle w:val="ListParagraph"/>
        <w:numPr>
          <w:ilvl w:val="0"/>
          <w:numId w:val="12"/>
        </w:numPr>
        <w:ind w:hanging="306"/>
        <w:rPr>
          <w:rFonts w:asciiTheme="minorHAnsi" w:hAnsiTheme="minorHAnsi"/>
        </w:rPr>
      </w:pPr>
      <w:r w:rsidRPr="00334990">
        <w:rPr>
          <w:rFonts w:asciiTheme="minorHAnsi" w:hAnsiTheme="minorHAnsi"/>
        </w:rPr>
        <w:t xml:space="preserve">1020 homes from windfalls. </w:t>
      </w:r>
    </w:p>
    <w:p w:rsidR="00AB2D76" w:rsidRPr="00334990" w:rsidRDefault="00AB2D76" w:rsidP="0057174F">
      <w:pPr>
        <w:pStyle w:val="ListParagraph"/>
        <w:ind w:left="709" w:hanging="306"/>
        <w:rPr>
          <w:rFonts w:asciiTheme="minorHAnsi" w:hAnsiTheme="minorHAnsi"/>
        </w:rPr>
      </w:pPr>
    </w:p>
    <w:p w:rsidR="001013A5" w:rsidRPr="00334990" w:rsidRDefault="001013A5" w:rsidP="00AB2D76">
      <w:pPr>
        <w:pStyle w:val="ListParagraph"/>
        <w:numPr>
          <w:ilvl w:val="1"/>
          <w:numId w:val="1"/>
        </w:numPr>
        <w:ind w:left="709" w:hanging="709"/>
        <w:rPr>
          <w:rFonts w:asciiTheme="minorHAnsi" w:hAnsiTheme="minorHAnsi"/>
        </w:rPr>
      </w:pPr>
      <w:r w:rsidRPr="00334990">
        <w:rPr>
          <w:rFonts w:asciiTheme="minorHAnsi" w:hAnsiTheme="minorHAnsi"/>
        </w:rPr>
        <w:t>The HELAA also identifies capacity for additional economic uses for approximately 300,000sqm of B1 (offices); around 92,000sqm of B2/B8 (industrial) and 200,000sqm of leisure and community uses.</w:t>
      </w:r>
    </w:p>
    <w:p w:rsidR="009D4DF5" w:rsidRPr="00334990" w:rsidRDefault="009D4DF5" w:rsidP="009D4DF5">
      <w:pPr>
        <w:pStyle w:val="ListParagraph"/>
        <w:rPr>
          <w:rFonts w:asciiTheme="minorHAnsi" w:hAnsiTheme="minorHAnsi"/>
        </w:rPr>
      </w:pPr>
    </w:p>
    <w:p w:rsidR="00777143" w:rsidRPr="004E3699" w:rsidRDefault="00777143" w:rsidP="004E3699">
      <w:pPr>
        <w:rPr>
          <w:rFonts w:asciiTheme="minorHAnsi" w:hAnsiTheme="minorHAnsi"/>
          <w:b/>
        </w:rPr>
      </w:pPr>
      <w:r w:rsidRPr="00B579E1">
        <w:rPr>
          <w:rFonts w:asciiTheme="minorHAnsi" w:hAnsiTheme="minorHAnsi"/>
          <w:b/>
        </w:rPr>
        <w:t>Projected CIL Income</w:t>
      </w:r>
      <w:r w:rsidRPr="004E3699">
        <w:rPr>
          <w:rFonts w:asciiTheme="minorHAnsi" w:hAnsiTheme="minorHAnsi"/>
          <w:b/>
        </w:rPr>
        <w:t xml:space="preserve"> </w:t>
      </w:r>
    </w:p>
    <w:p w:rsidR="00FB5C84" w:rsidRPr="00DA7AA8" w:rsidRDefault="00CE0183" w:rsidP="00ED41CA">
      <w:pPr>
        <w:pStyle w:val="ListParagraph"/>
        <w:numPr>
          <w:ilvl w:val="1"/>
          <w:numId w:val="1"/>
        </w:numPr>
        <w:ind w:left="709" w:hanging="709"/>
        <w:rPr>
          <w:rFonts w:asciiTheme="minorHAnsi" w:hAnsiTheme="minorHAnsi"/>
        </w:rPr>
      </w:pPr>
      <w:r w:rsidRPr="00334990">
        <w:rPr>
          <w:rFonts w:asciiTheme="minorHAnsi" w:hAnsiTheme="minorHAnsi"/>
        </w:rPr>
        <w:t>B</w:t>
      </w:r>
      <w:r w:rsidR="00AB2D76" w:rsidRPr="00334990">
        <w:rPr>
          <w:rFonts w:asciiTheme="minorHAnsi" w:hAnsiTheme="minorHAnsi"/>
        </w:rPr>
        <w:t xml:space="preserve">ased </w:t>
      </w:r>
      <w:r w:rsidR="00AB2D76" w:rsidRPr="00DA7AA8">
        <w:rPr>
          <w:rFonts w:asciiTheme="minorHAnsi" w:hAnsiTheme="minorHAnsi"/>
        </w:rPr>
        <w:t>on the information contained within the HELAA</w:t>
      </w:r>
      <w:r w:rsidR="00C6201C" w:rsidRPr="00DA7AA8">
        <w:rPr>
          <w:rFonts w:asciiTheme="minorHAnsi" w:hAnsiTheme="minorHAnsi"/>
        </w:rPr>
        <w:t xml:space="preserve"> </w:t>
      </w:r>
      <w:r w:rsidR="00AB2D76" w:rsidRPr="00DA7AA8">
        <w:rPr>
          <w:rFonts w:asciiTheme="minorHAnsi" w:hAnsiTheme="minorHAnsi"/>
        </w:rPr>
        <w:t xml:space="preserve">it is possible to </w:t>
      </w:r>
      <w:r w:rsidR="00C6201C" w:rsidRPr="00DA7AA8">
        <w:rPr>
          <w:rFonts w:asciiTheme="minorHAnsi" w:hAnsiTheme="minorHAnsi"/>
        </w:rPr>
        <w:t>estimate</w:t>
      </w:r>
      <w:r w:rsidRPr="00DA7AA8">
        <w:rPr>
          <w:rFonts w:asciiTheme="minorHAnsi" w:hAnsiTheme="minorHAnsi"/>
        </w:rPr>
        <w:t xml:space="preserve"> </w:t>
      </w:r>
      <w:r w:rsidR="00AB2D76" w:rsidRPr="00DA7AA8">
        <w:rPr>
          <w:rFonts w:asciiTheme="minorHAnsi" w:hAnsiTheme="minorHAnsi"/>
        </w:rPr>
        <w:t>the</w:t>
      </w:r>
      <w:r w:rsidR="00ED41CA" w:rsidRPr="00DA7AA8">
        <w:rPr>
          <w:rFonts w:asciiTheme="minorHAnsi" w:hAnsiTheme="minorHAnsi"/>
        </w:rPr>
        <w:t xml:space="preserve"> likely</w:t>
      </w:r>
      <w:r w:rsidR="00AB2D76" w:rsidRPr="00DA7AA8">
        <w:rPr>
          <w:rFonts w:asciiTheme="minorHAnsi" w:hAnsiTheme="minorHAnsi"/>
        </w:rPr>
        <w:t xml:space="preserve"> CIL income</w:t>
      </w:r>
      <w:r w:rsidR="00ED41CA" w:rsidRPr="00DA7AA8">
        <w:rPr>
          <w:rFonts w:asciiTheme="minorHAnsi" w:hAnsiTheme="minorHAnsi"/>
        </w:rPr>
        <w:t xml:space="preserve"> from anticipated new developments</w:t>
      </w:r>
      <w:r w:rsidRPr="00DA7AA8">
        <w:rPr>
          <w:rFonts w:asciiTheme="minorHAnsi" w:hAnsiTheme="minorHAnsi"/>
        </w:rPr>
        <w:t xml:space="preserve"> over the plan period</w:t>
      </w:r>
      <w:r w:rsidR="00702374" w:rsidRPr="00DA7AA8">
        <w:rPr>
          <w:rFonts w:asciiTheme="minorHAnsi" w:hAnsiTheme="minorHAnsi"/>
        </w:rPr>
        <w:t xml:space="preserve">. </w:t>
      </w:r>
    </w:p>
    <w:p w:rsidR="00FB5C84" w:rsidRPr="00DA7AA8" w:rsidRDefault="00FB5C84" w:rsidP="00FB5C84">
      <w:pPr>
        <w:pStyle w:val="ListParagraph"/>
        <w:ind w:left="709"/>
        <w:rPr>
          <w:rFonts w:asciiTheme="minorHAnsi" w:hAnsiTheme="minorHAnsi"/>
        </w:rPr>
      </w:pPr>
    </w:p>
    <w:p w:rsidR="00BD0A70" w:rsidRPr="00DA7AA8" w:rsidRDefault="00702374" w:rsidP="00BD0A70">
      <w:pPr>
        <w:pStyle w:val="ListParagraph"/>
        <w:numPr>
          <w:ilvl w:val="1"/>
          <w:numId w:val="1"/>
        </w:numPr>
        <w:ind w:left="709" w:hanging="709"/>
        <w:rPr>
          <w:rFonts w:asciiTheme="minorHAnsi" w:hAnsiTheme="minorHAnsi"/>
        </w:rPr>
      </w:pPr>
      <w:r w:rsidRPr="00DA7AA8">
        <w:rPr>
          <w:rFonts w:asciiTheme="minorHAnsi" w:hAnsiTheme="minorHAnsi"/>
        </w:rPr>
        <w:t>It is important to note that this estimate is a ‘best-case’ scenario as not all sites identified in the HELAA will come forward for development or</w:t>
      </w:r>
      <w:r w:rsidR="00C6201C" w:rsidRPr="00DA7AA8">
        <w:rPr>
          <w:rFonts w:asciiTheme="minorHAnsi" w:hAnsiTheme="minorHAnsi"/>
        </w:rPr>
        <w:t xml:space="preserve"> for the scale</w:t>
      </w:r>
      <w:r w:rsidR="00DA7AA8">
        <w:rPr>
          <w:rFonts w:asciiTheme="minorHAnsi" w:hAnsiTheme="minorHAnsi"/>
        </w:rPr>
        <w:t xml:space="preserve"> and type</w:t>
      </w:r>
      <w:r w:rsidR="00BD0A70" w:rsidRPr="00DA7AA8">
        <w:rPr>
          <w:rFonts w:asciiTheme="minorHAnsi" w:hAnsiTheme="minorHAnsi"/>
        </w:rPr>
        <w:t xml:space="preserve"> of development estimated. There will be some sites that do not come forward as planned, or at all</w:t>
      </w:r>
      <w:r w:rsidR="00DA7AA8">
        <w:rPr>
          <w:rFonts w:asciiTheme="minorHAnsi" w:hAnsiTheme="minorHAnsi"/>
        </w:rPr>
        <w:t>.</w:t>
      </w:r>
    </w:p>
    <w:p w:rsidR="00702374" w:rsidRPr="00DA7AA8" w:rsidRDefault="00702374" w:rsidP="00702374">
      <w:pPr>
        <w:pStyle w:val="ListParagraph"/>
        <w:ind w:left="709"/>
        <w:rPr>
          <w:rFonts w:asciiTheme="minorHAnsi" w:hAnsiTheme="minorHAnsi"/>
        </w:rPr>
      </w:pPr>
    </w:p>
    <w:p w:rsidR="00702374" w:rsidRPr="00DA7AA8" w:rsidRDefault="00702374" w:rsidP="00702374">
      <w:pPr>
        <w:pStyle w:val="ListParagraph"/>
        <w:numPr>
          <w:ilvl w:val="1"/>
          <w:numId w:val="1"/>
        </w:numPr>
        <w:ind w:left="709" w:hanging="709"/>
        <w:rPr>
          <w:rFonts w:asciiTheme="minorHAnsi" w:hAnsiTheme="minorHAnsi"/>
        </w:rPr>
      </w:pPr>
      <w:r w:rsidRPr="00DA7AA8">
        <w:rPr>
          <w:rFonts w:asciiTheme="minorHAnsi" w:hAnsiTheme="minorHAnsi"/>
        </w:rPr>
        <w:t xml:space="preserve">Whether sites come forward for </w:t>
      </w:r>
      <w:r w:rsidR="00DA7AA8">
        <w:rPr>
          <w:rFonts w:asciiTheme="minorHAnsi" w:hAnsiTheme="minorHAnsi"/>
        </w:rPr>
        <w:t>development</w:t>
      </w:r>
      <w:r w:rsidRPr="00DA7AA8">
        <w:rPr>
          <w:rFonts w:asciiTheme="minorHAnsi" w:hAnsiTheme="minorHAnsi"/>
        </w:rPr>
        <w:t xml:space="preserve"> will depend on a number of factors including whether the proposal is acceptable in planning terms, the will of the landowner/developer, the economy and availability of funding.</w:t>
      </w:r>
    </w:p>
    <w:p w:rsidR="00BD0A70" w:rsidRPr="00BD0A70" w:rsidRDefault="00BD0A70" w:rsidP="00BD0A70">
      <w:pPr>
        <w:pStyle w:val="ListParagraph"/>
        <w:rPr>
          <w:rFonts w:asciiTheme="minorHAnsi" w:hAnsiTheme="minorHAnsi"/>
        </w:rPr>
      </w:pPr>
    </w:p>
    <w:p w:rsidR="00BD0A70" w:rsidRPr="00334990" w:rsidRDefault="00B579E1" w:rsidP="00BD0A70">
      <w:pPr>
        <w:pStyle w:val="ListParagraph"/>
        <w:numPr>
          <w:ilvl w:val="1"/>
          <w:numId w:val="1"/>
        </w:numPr>
        <w:ind w:left="709" w:hanging="709"/>
        <w:rPr>
          <w:rFonts w:asciiTheme="minorHAnsi" w:hAnsiTheme="minorHAnsi"/>
        </w:rPr>
      </w:pPr>
      <w:r>
        <w:rPr>
          <w:rFonts w:asciiTheme="minorHAnsi" w:hAnsiTheme="minorHAnsi"/>
        </w:rPr>
        <w:t>A</w:t>
      </w:r>
      <w:r w:rsidR="00BD0A70" w:rsidRPr="00334990">
        <w:rPr>
          <w:rFonts w:asciiTheme="minorHAnsi" w:hAnsiTheme="minorHAnsi"/>
        </w:rPr>
        <w:t xml:space="preserve"> number of assumptions have been used when estimating the anticipated CIL income from residential developments liable to pay CIL.  These assumptions are as follows:</w:t>
      </w:r>
    </w:p>
    <w:p w:rsidR="00BD0A70" w:rsidRPr="00334990" w:rsidRDefault="00BD0A70" w:rsidP="00BD0A70">
      <w:pPr>
        <w:pStyle w:val="ListParagraph"/>
        <w:numPr>
          <w:ilvl w:val="2"/>
          <w:numId w:val="13"/>
        </w:numPr>
        <w:ind w:left="1560" w:hanging="426"/>
        <w:rPr>
          <w:rFonts w:asciiTheme="minorHAnsi" w:hAnsiTheme="minorHAnsi"/>
        </w:rPr>
      </w:pPr>
      <w:r w:rsidRPr="00334990">
        <w:rPr>
          <w:rFonts w:asciiTheme="minorHAnsi" w:hAnsiTheme="minorHAnsi"/>
        </w:rPr>
        <w:t>Discount of 50% affordable housing for major sites (&gt;10 dwellings)</w:t>
      </w:r>
      <w:r>
        <w:rPr>
          <w:rFonts w:asciiTheme="minorHAnsi" w:hAnsiTheme="minorHAnsi"/>
        </w:rPr>
        <w:t xml:space="preserve"> as affordable housing does not pay CIL</w:t>
      </w:r>
    </w:p>
    <w:p w:rsidR="00BD0A70" w:rsidRPr="00334990" w:rsidRDefault="00BD0A70" w:rsidP="00BD0A70">
      <w:pPr>
        <w:pStyle w:val="ListParagraph"/>
        <w:numPr>
          <w:ilvl w:val="2"/>
          <w:numId w:val="13"/>
        </w:numPr>
        <w:ind w:left="1560" w:hanging="426"/>
        <w:rPr>
          <w:rFonts w:asciiTheme="minorHAnsi" w:hAnsiTheme="minorHAnsi"/>
        </w:rPr>
      </w:pPr>
      <w:r w:rsidRPr="00334990">
        <w:rPr>
          <w:rFonts w:asciiTheme="minorHAnsi" w:hAnsiTheme="minorHAnsi"/>
        </w:rPr>
        <w:lastRenderedPageBreak/>
        <w:t xml:space="preserve">The </w:t>
      </w:r>
      <w:proofErr w:type="spellStart"/>
      <w:r w:rsidRPr="00334990">
        <w:rPr>
          <w:rFonts w:asciiTheme="minorHAnsi" w:hAnsiTheme="minorHAnsi"/>
        </w:rPr>
        <w:t>floorspaces</w:t>
      </w:r>
      <w:proofErr w:type="spellEnd"/>
      <w:r w:rsidRPr="00334990">
        <w:rPr>
          <w:rFonts w:asciiTheme="minorHAnsi" w:hAnsiTheme="minorHAnsi"/>
        </w:rPr>
        <w:t xml:space="preserve"> for different types of dwellings has been determined using the typical </w:t>
      </w:r>
      <w:proofErr w:type="spellStart"/>
      <w:r w:rsidRPr="00334990">
        <w:rPr>
          <w:rFonts w:asciiTheme="minorHAnsi" w:hAnsiTheme="minorHAnsi"/>
        </w:rPr>
        <w:t>floorspaces</w:t>
      </w:r>
      <w:proofErr w:type="spellEnd"/>
      <w:r w:rsidRPr="00334990">
        <w:rPr>
          <w:rFonts w:asciiTheme="minorHAnsi" w:hAnsiTheme="minorHAnsi"/>
        </w:rPr>
        <w:t xml:space="preserve"> for different types of dwellings (gross internal area) contained within Appendix 2 of the Affordable Housing and Planning Obligations SPD. </w:t>
      </w:r>
    </w:p>
    <w:p w:rsidR="00BD0A70" w:rsidRDefault="00BD0A70" w:rsidP="00BD0A70">
      <w:pPr>
        <w:pStyle w:val="ListParagraph"/>
        <w:numPr>
          <w:ilvl w:val="2"/>
          <w:numId w:val="13"/>
        </w:numPr>
        <w:ind w:left="1560" w:hanging="426"/>
        <w:rPr>
          <w:rFonts w:asciiTheme="minorHAnsi" w:hAnsiTheme="minorHAnsi"/>
        </w:rPr>
      </w:pPr>
      <w:r w:rsidRPr="00334990">
        <w:rPr>
          <w:rFonts w:asciiTheme="minorHAnsi" w:hAnsiTheme="minorHAnsi"/>
        </w:rPr>
        <w:t xml:space="preserve">The development mix has been determined using the development mix </w:t>
      </w:r>
      <w:r w:rsidR="00B579E1">
        <w:rPr>
          <w:rFonts w:asciiTheme="minorHAnsi" w:hAnsiTheme="minorHAnsi"/>
        </w:rPr>
        <w:t xml:space="preserve">required </w:t>
      </w:r>
      <w:r w:rsidRPr="00334990">
        <w:rPr>
          <w:rFonts w:asciiTheme="minorHAnsi" w:hAnsiTheme="minorHAnsi"/>
        </w:rPr>
        <w:t>for sites located in the City centre, in District centres, Strategic sites and Neighbourhood areas contained within the Balance of Dwellings SPD (Tabl</w:t>
      </w:r>
      <w:r w:rsidR="00B579E1">
        <w:rPr>
          <w:rFonts w:asciiTheme="minorHAnsi" w:hAnsiTheme="minorHAnsi"/>
        </w:rPr>
        <w:t>e</w:t>
      </w:r>
      <w:r w:rsidRPr="00334990">
        <w:rPr>
          <w:rFonts w:asciiTheme="minorHAnsi" w:hAnsiTheme="minorHAnsi"/>
        </w:rPr>
        <w:t xml:space="preserve">s 4 – 9).  </w:t>
      </w:r>
    </w:p>
    <w:p w:rsidR="00DA7AA8" w:rsidRDefault="00DA7AA8" w:rsidP="00BD0A70">
      <w:pPr>
        <w:pStyle w:val="ListParagraph"/>
        <w:numPr>
          <w:ilvl w:val="2"/>
          <w:numId w:val="13"/>
        </w:numPr>
        <w:ind w:left="1560" w:hanging="426"/>
        <w:rPr>
          <w:rFonts w:asciiTheme="minorHAnsi" w:hAnsiTheme="minorHAnsi"/>
        </w:rPr>
      </w:pPr>
      <w:r>
        <w:rPr>
          <w:rFonts w:asciiTheme="minorHAnsi" w:hAnsiTheme="minorHAnsi"/>
        </w:rPr>
        <w:t>Discount of 3</w:t>
      </w:r>
      <w:r w:rsidR="005860D9">
        <w:rPr>
          <w:rFonts w:asciiTheme="minorHAnsi" w:hAnsiTheme="minorHAnsi"/>
        </w:rPr>
        <w:t>5</w:t>
      </w:r>
      <w:r>
        <w:rPr>
          <w:rFonts w:asciiTheme="minorHAnsi" w:hAnsiTheme="minorHAnsi"/>
        </w:rPr>
        <w:t xml:space="preserve">% on brownfield identified sites to account for the netting off of existing </w:t>
      </w:r>
      <w:proofErr w:type="spellStart"/>
      <w:r>
        <w:rPr>
          <w:rFonts w:asciiTheme="minorHAnsi" w:hAnsiTheme="minorHAnsi"/>
        </w:rPr>
        <w:t>floorspace</w:t>
      </w:r>
      <w:proofErr w:type="spellEnd"/>
    </w:p>
    <w:p w:rsidR="00DA7AA8" w:rsidRDefault="00DA7AA8" w:rsidP="00BD0A70">
      <w:pPr>
        <w:pStyle w:val="ListParagraph"/>
        <w:numPr>
          <w:ilvl w:val="2"/>
          <w:numId w:val="13"/>
        </w:numPr>
        <w:ind w:left="1560" w:hanging="426"/>
        <w:rPr>
          <w:rFonts w:asciiTheme="minorHAnsi" w:hAnsiTheme="minorHAnsi"/>
        </w:rPr>
      </w:pPr>
      <w:r>
        <w:rPr>
          <w:rFonts w:asciiTheme="minorHAnsi" w:hAnsiTheme="minorHAnsi"/>
        </w:rPr>
        <w:t>Assuming all windfall dwellings would be an average 2 bed flat for the purposes of the CIL income</w:t>
      </w:r>
      <w:r w:rsidR="005860D9">
        <w:rPr>
          <w:rFonts w:asciiTheme="minorHAnsi" w:hAnsiTheme="minorHAnsi"/>
        </w:rPr>
        <w:t xml:space="preserve"> estimate only and applying a 35</w:t>
      </w:r>
      <w:r>
        <w:rPr>
          <w:rFonts w:asciiTheme="minorHAnsi" w:hAnsiTheme="minorHAnsi"/>
        </w:rPr>
        <w:t xml:space="preserve">% discount to account for the netting off of existing </w:t>
      </w:r>
      <w:proofErr w:type="spellStart"/>
      <w:r>
        <w:rPr>
          <w:rFonts w:asciiTheme="minorHAnsi" w:hAnsiTheme="minorHAnsi"/>
        </w:rPr>
        <w:t>floorspace</w:t>
      </w:r>
      <w:proofErr w:type="spellEnd"/>
      <w:r>
        <w:rPr>
          <w:rFonts w:asciiTheme="minorHAnsi" w:hAnsiTheme="minorHAnsi"/>
        </w:rPr>
        <w:t>.</w:t>
      </w:r>
    </w:p>
    <w:p w:rsidR="00BD0A70" w:rsidRDefault="00BD0A70" w:rsidP="00BD0A70">
      <w:pPr>
        <w:pStyle w:val="ListParagraph"/>
        <w:ind w:left="709"/>
        <w:rPr>
          <w:rFonts w:asciiTheme="minorHAnsi" w:hAnsiTheme="minorHAnsi"/>
        </w:rPr>
      </w:pPr>
    </w:p>
    <w:p w:rsidR="00CC24B1" w:rsidRDefault="00BD0A70" w:rsidP="00CC24B1">
      <w:pPr>
        <w:pStyle w:val="ListParagraph"/>
        <w:numPr>
          <w:ilvl w:val="1"/>
          <w:numId w:val="1"/>
        </w:numPr>
        <w:ind w:left="709" w:hanging="709"/>
        <w:rPr>
          <w:rFonts w:asciiTheme="minorHAnsi" w:hAnsiTheme="minorHAnsi"/>
        </w:rPr>
      </w:pPr>
      <w:r>
        <w:rPr>
          <w:rFonts w:asciiTheme="minorHAnsi" w:hAnsiTheme="minorHAnsi"/>
        </w:rPr>
        <w:t>The</w:t>
      </w:r>
      <w:r w:rsidR="00B579E1">
        <w:rPr>
          <w:rFonts w:asciiTheme="minorHAnsi" w:hAnsiTheme="minorHAnsi"/>
        </w:rPr>
        <w:t xml:space="preserve"> estimate of</w:t>
      </w:r>
      <w:r>
        <w:rPr>
          <w:rFonts w:asciiTheme="minorHAnsi" w:hAnsiTheme="minorHAnsi"/>
        </w:rPr>
        <w:t xml:space="preserve"> CIL income can only ever be a</w:t>
      </w:r>
      <w:r w:rsidR="00C6201C">
        <w:rPr>
          <w:rFonts w:asciiTheme="minorHAnsi" w:hAnsiTheme="minorHAnsi"/>
        </w:rPr>
        <w:t>n</w:t>
      </w:r>
      <w:r>
        <w:rPr>
          <w:rFonts w:asciiTheme="minorHAnsi" w:hAnsiTheme="minorHAnsi"/>
        </w:rPr>
        <w:t xml:space="preserve"> </w:t>
      </w:r>
      <w:r w:rsidR="00C6201C">
        <w:rPr>
          <w:rFonts w:asciiTheme="minorHAnsi" w:hAnsiTheme="minorHAnsi"/>
        </w:rPr>
        <w:t>e</w:t>
      </w:r>
      <w:r>
        <w:rPr>
          <w:rFonts w:asciiTheme="minorHAnsi" w:hAnsiTheme="minorHAnsi"/>
        </w:rPr>
        <w:t>stimate</w:t>
      </w:r>
      <w:r w:rsidR="00B579E1">
        <w:rPr>
          <w:rFonts w:asciiTheme="minorHAnsi" w:hAnsiTheme="minorHAnsi"/>
        </w:rPr>
        <w:t xml:space="preserve"> based on the most up to date data available and using the knowledge available to the City Council on likely development sites. There are a number of exemptions within the Regulations available to landowners or developers holding CIL </w:t>
      </w:r>
      <w:proofErr w:type="gramStart"/>
      <w:r w:rsidR="00B579E1">
        <w:rPr>
          <w:rFonts w:asciiTheme="minorHAnsi" w:hAnsiTheme="minorHAnsi"/>
        </w:rPr>
        <w:t>liability which are</w:t>
      </w:r>
      <w:proofErr w:type="gramEnd"/>
      <w:r w:rsidR="00B579E1">
        <w:rPr>
          <w:rFonts w:asciiTheme="minorHAnsi" w:hAnsiTheme="minorHAnsi"/>
        </w:rPr>
        <w:t xml:space="preserve"> near impossible to factor into the estimated CIL income as these do not emerge until applications are submitted right up to commencement of development.</w:t>
      </w:r>
      <w:r w:rsidR="00626D6E">
        <w:rPr>
          <w:rFonts w:asciiTheme="minorHAnsi" w:hAnsiTheme="minorHAnsi"/>
        </w:rPr>
        <w:t xml:space="preserve"> These exceptions currently include self- build and charitable relief.</w:t>
      </w:r>
    </w:p>
    <w:p w:rsidR="00CC24B1" w:rsidRDefault="00CC24B1" w:rsidP="00CC24B1">
      <w:pPr>
        <w:pStyle w:val="ListParagraph"/>
        <w:ind w:left="709"/>
        <w:rPr>
          <w:rFonts w:asciiTheme="minorHAnsi" w:hAnsiTheme="minorHAnsi"/>
        </w:rPr>
      </w:pPr>
    </w:p>
    <w:p w:rsidR="00CC24B1" w:rsidRPr="00CC24B1" w:rsidRDefault="00B579E1" w:rsidP="00CC24B1">
      <w:pPr>
        <w:pStyle w:val="ListParagraph"/>
        <w:numPr>
          <w:ilvl w:val="1"/>
          <w:numId w:val="1"/>
        </w:numPr>
        <w:ind w:left="709" w:hanging="709"/>
        <w:rPr>
          <w:rFonts w:asciiTheme="minorHAnsi" w:hAnsiTheme="minorHAnsi"/>
        </w:rPr>
      </w:pPr>
      <w:r w:rsidRPr="00CC24B1">
        <w:rPr>
          <w:rFonts w:asciiTheme="minorHAnsi" w:hAnsiTheme="minorHAnsi"/>
        </w:rPr>
        <w:t xml:space="preserve">Calculations have been undertaken based on </w:t>
      </w:r>
      <w:r w:rsidR="00CC24B1" w:rsidRPr="00CC24B1">
        <w:rPr>
          <w:rFonts w:asciiTheme="minorHAnsi" w:hAnsiTheme="minorHAnsi"/>
        </w:rPr>
        <w:t xml:space="preserve">a proposed levy of £200 per </w:t>
      </w:r>
      <w:r w:rsidRPr="00CC24B1">
        <w:rPr>
          <w:rFonts w:asciiTheme="minorHAnsi" w:hAnsiTheme="minorHAnsi"/>
        </w:rPr>
        <w:t>m</w:t>
      </w:r>
      <w:r w:rsidRPr="00CC24B1">
        <w:rPr>
          <w:rFonts w:asciiTheme="minorHAnsi" w:hAnsiTheme="minorHAnsi"/>
          <w:vertAlign w:val="superscript"/>
        </w:rPr>
        <w:t xml:space="preserve">2 </w:t>
      </w:r>
      <w:r w:rsidRPr="00CC24B1">
        <w:rPr>
          <w:rFonts w:asciiTheme="minorHAnsi" w:hAnsiTheme="minorHAnsi"/>
        </w:rPr>
        <w:t>for housing, Houses in Multiple Occupation (HMO’s) and student accommodation and £</w:t>
      </w:r>
      <w:r w:rsidR="00CC24B1" w:rsidRPr="00CC24B1">
        <w:rPr>
          <w:rFonts w:asciiTheme="minorHAnsi" w:hAnsiTheme="minorHAnsi"/>
        </w:rPr>
        <w:t xml:space="preserve">50 per </w:t>
      </w:r>
      <w:r w:rsidRPr="00CC24B1">
        <w:rPr>
          <w:rFonts w:asciiTheme="minorHAnsi" w:hAnsiTheme="minorHAnsi"/>
        </w:rPr>
        <w:t>m</w:t>
      </w:r>
      <w:r w:rsidRPr="00CC24B1">
        <w:rPr>
          <w:rFonts w:asciiTheme="minorHAnsi" w:hAnsiTheme="minorHAnsi"/>
          <w:vertAlign w:val="superscript"/>
        </w:rPr>
        <w:t>2</w:t>
      </w:r>
      <w:r w:rsidRPr="00CC24B1">
        <w:rPr>
          <w:rFonts w:asciiTheme="minorHAnsi" w:hAnsiTheme="minorHAnsi"/>
        </w:rPr>
        <w:t xml:space="preserve"> for retail uses, employment, hotels, institutions, assembl</w:t>
      </w:r>
      <w:r w:rsidR="00CC24B1" w:rsidRPr="00CC24B1">
        <w:rPr>
          <w:rFonts w:asciiTheme="minorHAnsi" w:hAnsiTheme="minorHAnsi"/>
        </w:rPr>
        <w:t xml:space="preserve">y and leisure and other uses. </w:t>
      </w:r>
      <w:proofErr w:type="gramStart"/>
      <w:r w:rsidR="005E70BE" w:rsidRPr="00CC24B1">
        <w:rPr>
          <w:rFonts w:asciiTheme="minorHAnsi" w:hAnsiTheme="minorHAnsi" w:cs="TTE1DDC878t00"/>
        </w:rPr>
        <w:t>Development from other uses do</w:t>
      </w:r>
      <w:proofErr w:type="gramEnd"/>
      <w:r w:rsidR="005E70BE" w:rsidRPr="00CC24B1">
        <w:rPr>
          <w:rFonts w:asciiTheme="minorHAnsi" w:hAnsiTheme="minorHAnsi" w:cs="TTE1DDC878t00"/>
        </w:rPr>
        <w:t xml:space="preserve"> not come forward on a consistent basis and reliable estimates cannot not be calculated.</w:t>
      </w:r>
    </w:p>
    <w:p w:rsidR="00CC24B1" w:rsidRPr="00CC24B1" w:rsidRDefault="00CC24B1" w:rsidP="00CC24B1">
      <w:pPr>
        <w:pStyle w:val="ListParagraph"/>
        <w:rPr>
          <w:rFonts w:asciiTheme="minorHAnsi" w:hAnsiTheme="minorHAnsi"/>
        </w:rPr>
      </w:pPr>
    </w:p>
    <w:p w:rsidR="00CC24B1" w:rsidRPr="00CC24B1" w:rsidRDefault="00CC24B1" w:rsidP="00CC24B1">
      <w:pPr>
        <w:pStyle w:val="ListParagraph"/>
        <w:numPr>
          <w:ilvl w:val="1"/>
          <w:numId w:val="1"/>
        </w:numPr>
        <w:ind w:left="709" w:hanging="709"/>
        <w:rPr>
          <w:rFonts w:asciiTheme="minorHAnsi" w:hAnsiTheme="minorHAnsi"/>
        </w:rPr>
      </w:pPr>
      <w:r w:rsidRPr="00CC24B1">
        <w:rPr>
          <w:rFonts w:asciiTheme="minorHAnsi" w:hAnsiTheme="minorHAnsi"/>
        </w:rPr>
        <w:t xml:space="preserve">This level has been tested in the </w:t>
      </w:r>
      <w:r w:rsidRPr="00CC24B1">
        <w:rPr>
          <w:rFonts w:asciiTheme="minorHAnsi" w:hAnsiTheme="minorHAnsi"/>
          <w:i/>
        </w:rPr>
        <w:t>Economic Viability Study</w:t>
      </w:r>
      <w:r w:rsidRPr="00CC24B1">
        <w:rPr>
          <w:rFonts w:asciiTheme="minorHAnsi" w:hAnsiTheme="minorHAnsi"/>
        </w:rPr>
        <w:t xml:space="preserve"> and is a critical piece of evidence to assist in determining the most appropriate level for the CIL tariff. It considers burdens placed upon new development through the Local Plan 2036, such as affordable housing requirements</w:t>
      </w:r>
      <w:r>
        <w:rPr>
          <w:rFonts w:asciiTheme="minorHAnsi" w:hAnsiTheme="minorHAnsi"/>
        </w:rPr>
        <w:t>. The Study will be published alongside the Preliminary Draft Charging Schedule consultation.</w:t>
      </w:r>
    </w:p>
    <w:p w:rsidR="00CC24B1" w:rsidRPr="00CC24B1" w:rsidRDefault="00CC24B1" w:rsidP="00CC24B1">
      <w:pPr>
        <w:pStyle w:val="ListParagraph"/>
        <w:rPr>
          <w:rFonts w:asciiTheme="minorHAnsi" w:hAnsiTheme="minorHAnsi"/>
        </w:rPr>
      </w:pPr>
    </w:p>
    <w:p w:rsidR="008A2807" w:rsidRPr="00CC24B1" w:rsidRDefault="00B579E1" w:rsidP="005860D9">
      <w:pPr>
        <w:pStyle w:val="ListParagraph"/>
        <w:numPr>
          <w:ilvl w:val="1"/>
          <w:numId w:val="1"/>
        </w:numPr>
        <w:ind w:left="709" w:hanging="709"/>
        <w:rPr>
          <w:rFonts w:asciiTheme="minorHAnsi" w:hAnsiTheme="minorHAnsi"/>
        </w:rPr>
      </w:pPr>
      <w:r w:rsidRPr="00CC24B1">
        <w:rPr>
          <w:rFonts w:asciiTheme="minorHAnsi" w:hAnsiTheme="minorHAnsi"/>
        </w:rPr>
        <w:t>On the basis of the evidence in the HELAA and the assumptions made, i</w:t>
      </w:r>
      <w:r w:rsidR="00CE0183" w:rsidRPr="00CC24B1">
        <w:rPr>
          <w:rFonts w:asciiTheme="minorHAnsi" w:hAnsiTheme="minorHAnsi"/>
        </w:rPr>
        <w:t xml:space="preserve">t is estimated that </w:t>
      </w:r>
      <w:r w:rsidR="008A2807" w:rsidRPr="00CC24B1">
        <w:rPr>
          <w:rFonts w:asciiTheme="minorHAnsi" w:hAnsiTheme="minorHAnsi"/>
        </w:rPr>
        <w:t xml:space="preserve">CIL will </w:t>
      </w:r>
      <w:r w:rsidR="008A2807" w:rsidRPr="002C514F">
        <w:rPr>
          <w:rFonts w:asciiTheme="minorHAnsi" w:hAnsiTheme="minorHAnsi"/>
        </w:rPr>
        <w:t xml:space="preserve">deliver </w:t>
      </w:r>
      <w:r w:rsidR="00CE0183" w:rsidRPr="002C514F">
        <w:rPr>
          <w:rFonts w:asciiTheme="minorHAnsi" w:hAnsiTheme="minorHAnsi"/>
        </w:rPr>
        <w:t xml:space="preserve">approximately </w:t>
      </w:r>
      <w:r w:rsidR="00CE0183" w:rsidRPr="002C514F">
        <w:rPr>
          <w:rFonts w:asciiTheme="minorHAnsi" w:hAnsiTheme="minorHAnsi"/>
          <w:b/>
        </w:rPr>
        <w:t>£</w:t>
      </w:r>
      <w:r w:rsidR="00CC24B1" w:rsidRPr="002C514F">
        <w:rPr>
          <w:rFonts w:asciiTheme="minorHAnsi" w:hAnsiTheme="minorHAnsi"/>
          <w:b/>
        </w:rPr>
        <w:t>47.8</w:t>
      </w:r>
      <w:r w:rsidR="00CE0183" w:rsidRPr="002C514F">
        <w:rPr>
          <w:rFonts w:asciiTheme="minorHAnsi" w:hAnsiTheme="minorHAnsi"/>
          <w:b/>
        </w:rPr>
        <w:t xml:space="preserve"> million</w:t>
      </w:r>
      <w:r w:rsidR="008A2807" w:rsidRPr="002C514F">
        <w:rPr>
          <w:rFonts w:asciiTheme="minorHAnsi" w:hAnsiTheme="minorHAnsi"/>
          <w:b/>
        </w:rPr>
        <w:t xml:space="preserve"> </w:t>
      </w:r>
      <w:r w:rsidR="008A2807" w:rsidRPr="002C514F">
        <w:rPr>
          <w:rFonts w:asciiTheme="minorHAnsi" w:hAnsiTheme="minorHAnsi"/>
        </w:rPr>
        <w:t>over the</w:t>
      </w:r>
      <w:r w:rsidR="008A2807" w:rsidRPr="00CC24B1">
        <w:rPr>
          <w:rFonts w:asciiTheme="minorHAnsi" w:hAnsiTheme="minorHAnsi"/>
          <w:b/>
        </w:rPr>
        <w:t xml:space="preserve"> </w:t>
      </w:r>
      <w:r w:rsidR="008A2807" w:rsidRPr="00CC24B1">
        <w:rPr>
          <w:rFonts w:asciiTheme="minorHAnsi" w:hAnsiTheme="minorHAnsi"/>
        </w:rPr>
        <w:t>plan period</w:t>
      </w:r>
      <w:r w:rsidRPr="00CC24B1">
        <w:rPr>
          <w:rFonts w:asciiTheme="minorHAnsi" w:hAnsiTheme="minorHAnsi"/>
        </w:rPr>
        <w:t>.</w:t>
      </w:r>
    </w:p>
    <w:p w:rsidR="004E3699" w:rsidRPr="00334990" w:rsidRDefault="004E3699" w:rsidP="004E3699">
      <w:pPr>
        <w:pStyle w:val="ListParagraph"/>
        <w:rPr>
          <w:rFonts w:asciiTheme="minorHAnsi" w:hAnsiTheme="minorHAnsi"/>
          <w:b/>
        </w:rPr>
      </w:pPr>
    </w:p>
    <w:p w:rsidR="004E3699" w:rsidRPr="004E3699" w:rsidRDefault="004E3699" w:rsidP="004E3699">
      <w:pPr>
        <w:rPr>
          <w:rFonts w:asciiTheme="minorHAnsi" w:hAnsiTheme="minorHAnsi"/>
          <w:b/>
        </w:rPr>
      </w:pPr>
      <w:r w:rsidRPr="004E3699">
        <w:rPr>
          <w:rFonts w:asciiTheme="minorHAnsi" w:hAnsiTheme="minorHAnsi"/>
          <w:b/>
        </w:rPr>
        <w:t>Infrastructure Funding Gap</w:t>
      </w:r>
    </w:p>
    <w:p w:rsidR="004E3699" w:rsidRPr="00334990" w:rsidRDefault="00B579E1" w:rsidP="004E3699">
      <w:pPr>
        <w:pStyle w:val="ListParagraph"/>
        <w:numPr>
          <w:ilvl w:val="1"/>
          <w:numId w:val="1"/>
        </w:numPr>
        <w:ind w:left="709" w:hanging="709"/>
        <w:rPr>
          <w:rFonts w:asciiTheme="minorHAnsi" w:hAnsiTheme="minorHAnsi"/>
        </w:rPr>
      </w:pPr>
      <w:r>
        <w:rPr>
          <w:rFonts w:asciiTheme="minorHAnsi" w:hAnsiTheme="minorHAnsi"/>
        </w:rPr>
        <w:t>C</w:t>
      </w:r>
      <w:r w:rsidR="004E3699" w:rsidRPr="00334990">
        <w:rPr>
          <w:rFonts w:asciiTheme="minorHAnsi" w:hAnsiTheme="minorHAnsi"/>
        </w:rPr>
        <w:t>harging authorities must demonstrate a funding gap between infrastructure requirements and available funding in order to provide evidence for the need to charge CIL.</w:t>
      </w:r>
    </w:p>
    <w:p w:rsidR="004E3699" w:rsidRPr="00334990" w:rsidRDefault="004E3699" w:rsidP="004E3699">
      <w:pPr>
        <w:pStyle w:val="ListParagraph"/>
        <w:ind w:left="709"/>
        <w:rPr>
          <w:rFonts w:asciiTheme="minorHAnsi" w:hAnsiTheme="minorHAnsi"/>
        </w:rPr>
      </w:pPr>
    </w:p>
    <w:p w:rsidR="004E3699" w:rsidRPr="00334990" w:rsidRDefault="004E3699" w:rsidP="004E3699">
      <w:pPr>
        <w:pStyle w:val="ListParagraph"/>
        <w:numPr>
          <w:ilvl w:val="1"/>
          <w:numId w:val="1"/>
        </w:numPr>
        <w:ind w:left="709" w:hanging="709"/>
        <w:rPr>
          <w:rFonts w:asciiTheme="minorHAnsi" w:hAnsiTheme="minorHAnsi"/>
        </w:rPr>
      </w:pPr>
      <w:r w:rsidRPr="00680A0F">
        <w:rPr>
          <w:rFonts w:asciiTheme="minorHAnsi" w:hAnsiTheme="minorHAnsi"/>
        </w:rPr>
        <w:t xml:space="preserve">Table </w:t>
      </w:r>
      <w:r w:rsidR="000F7FFC" w:rsidRPr="00680A0F">
        <w:rPr>
          <w:rFonts w:asciiTheme="minorHAnsi" w:hAnsiTheme="minorHAnsi"/>
        </w:rPr>
        <w:t>3</w:t>
      </w:r>
      <w:r w:rsidRPr="00334990">
        <w:rPr>
          <w:rFonts w:asciiTheme="minorHAnsi" w:hAnsiTheme="minorHAnsi"/>
        </w:rPr>
        <w:t xml:space="preserve"> sets out the difference between the total estimated cost of infrastructure to support growth over the plan period (</w:t>
      </w:r>
      <w:r w:rsidR="000F7FFC">
        <w:rPr>
          <w:rFonts w:asciiTheme="minorHAnsi" w:hAnsiTheme="minorHAnsi"/>
        </w:rPr>
        <w:t>The aggregate funding gaps from Table 1 and 2 combined</w:t>
      </w:r>
      <w:r w:rsidRPr="00334990">
        <w:rPr>
          <w:rFonts w:asciiTheme="minorHAnsi" w:hAnsiTheme="minorHAnsi"/>
        </w:rPr>
        <w:t>) and the amount of likely CIL income from anticipated new developments (based on sites identified in the HELAA</w:t>
      </w:r>
      <w:r w:rsidR="00CC24B1">
        <w:rPr>
          <w:rFonts w:asciiTheme="minorHAnsi" w:hAnsiTheme="minorHAnsi"/>
        </w:rPr>
        <w:t xml:space="preserve"> 2016</w:t>
      </w:r>
      <w:r w:rsidRPr="00334990">
        <w:rPr>
          <w:rFonts w:asciiTheme="minorHAnsi" w:hAnsiTheme="minorHAnsi"/>
        </w:rPr>
        <w:t>).</w:t>
      </w:r>
    </w:p>
    <w:p w:rsidR="00CC24B1" w:rsidRDefault="00CC24B1">
      <w:pPr>
        <w:rPr>
          <w:rFonts w:asciiTheme="minorHAnsi" w:hAnsiTheme="minorHAnsi"/>
        </w:rPr>
      </w:pPr>
      <w:r>
        <w:rPr>
          <w:rFonts w:asciiTheme="minorHAnsi" w:hAnsiTheme="minorHAnsi"/>
        </w:rPr>
        <w:br w:type="page"/>
      </w:r>
    </w:p>
    <w:p w:rsidR="004E3699" w:rsidRPr="00334990" w:rsidRDefault="004E3699" w:rsidP="004E3699">
      <w:pPr>
        <w:pStyle w:val="ListParagraph"/>
        <w:rPr>
          <w:rFonts w:asciiTheme="minorHAnsi" w:hAnsiTheme="minorHAnsi"/>
        </w:rPr>
      </w:pPr>
    </w:p>
    <w:tbl>
      <w:tblPr>
        <w:tblStyle w:val="TableGrid"/>
        <w:tblW w:w="0" w:type="auto"/>
        <w:tblInd w:w="817" w:type="dxa"/>
        <w:tblLayout w:type="fixed"/>
        <w:tblLook w:val="04A0" w:firstRow="1" w:lastRow="0" w:firstColumn="1" w:lastColumn="0" w:noHBand="0" w:noVBand="1"/>
      </w:tblPr>
      <w:tblGrid>
        <w:gridCol w:w="5528"/>
        <w:gridCol w:w="1985"/>
        <w:gridCol w:w="709"/>
      </w:tblGrid>
      <w:tr w:rsidR="00680A0F" w:rsidRPr="00334990" w:rsidTr="00680A0F">
        <w:tc>
          <w:tcPr>
            <w:tcW w:w="8222" w:type="dxa"/>
            <w:gridSpan w:val="3"/>
            <w:tcBorders>
              <w:top w:val="nil"/>
              <w:left w:val="nil"/>
              <w:right w:val="nil"/>
            </w:tcBorders>
            <w:vAlign w:val="center"/>
          </w:tcPr>
          <w:p w:rsidR="00680A0F" w:rsidRPr="00680A0F" w:rsidRDefault="00680A0F" w:rsidP="00680A0F">
            <w:pPr>
              <w:pStyle w:val="ListParagraph"/>
              <w:ind w:left="34"/>
              <w:rPr>
                <w:rFonts w:asciiTheme="minorHAnsi" w:hAnsiTheme="minorHAnsi"/>
                <w:b/>
              </w:rPr>
            </w:pPr>
            <w:r w:rsidRPr="00680A0F">
              <w:rPr>
                <w:rFonts w:asciiTheme="minorHAnsi" w:hAnsiTheme="minorHAnsi"/>
                <w:b/>
              </w:rPr>
              <w:t>Table 3 – Residual Funding Gap</w:t>
            </w:r>
          </w:p>
        </w:tc>
      </w:tr>
      <w:tr w:rsidR="00680A0F" w:rsidRPr="00334990" w:rsidTr="00680A0F">
        <w:tc>
          <w:tcPr>
            <w:tcW w:w="5528" w:type="dxa"/>
            <w:vAlign w:val="center"/>
          </w:tcPr>
          <w:p w:rsidR="00680A0F" w:rsidRPr="00680A0F" w:rsidRDefault="00680A0F" w:rsidP="00680A0F">
            <w:pPr>
              <w:pStyle w:val="ListParagraph"/>
              <w:spacing w:before="60" w:after="60"/>
              <w:ind w:left="0"/>
              <w:contextualSpacing w:val="0"/>
              <w:jc w:val="right"/>
              <w:rPr>
                <w:rFonts w:asciiTheme="minorHAnsi" w:hAnsiTheme="minorHAnsi"/>
              </w:rPr>
            </w:pPr>
            <w:r>
              <w:rPr>
                <w:rFonts w:asciiTheme="minorHAnsi" w:hAnsiTheme="minorHAnsi"/>
              </w:rPr>
              <w:t>Aggregate funding gap of infrastructure</w:t>
            </w:r>
          </w:p>
        </w:tc>
        <w:tc>
          <w:tcPr>
            <w:tcW w:w="1985" w:type="dxa"/>
            <w:vAlign w:val="center"/>
          </w:tcPr>
          <w:p w:rsidR="00680A0F" w:rsidRPr="00CC24B1" w:rsidRDefault="00680A0F" w:rsidP="004302AE">
            <w:pPr>
              <w:pStyle w:val="ListParagraph"/>
              <w:spacing w:before="60" w:after="60"/>
              <w:ind w:left="0"/>
              <w:contextualSpacing w:val="0"/>
              <w:jc w:val="right"/>
              <w:rPr>
                <w:rFonts w:asciiTheme="minorHAnsi" w:hAnsiTheme="minorHAnsi"/>
              </w:rPr>
            </w:pPr>
            <w:r w:rsidRPr="00CC24B1">
              <w:rPr>
                <w:rFonts w:ascii="Calibri" w:eastAsia="Times New Roman" w:hAnsi="Calibri" w:cs="Times New Roman"/>
                <w:color w:val="000000"/>
                <w:lang w:eastAsia="en-GB"/>
              </w:rPr>
              <w:t>£</w:t>
            </w:r>
            <w:r w:rsidR="004302AE" w:rsidRPr="00CC24B1">
              <w:rPr>
                <w:rFonts w:ascii="Calibri" w:eastAsia="Times New Roman" w:hAnsi="Calibri" w:cs="Times New Roman"/>
                <w:color w:val="000000"/>
                <w:lang w:eastAsia="en-GB"/>
              </w:rPr>
              <w:t>182,688,400</w:t>
            </w:r>
          </w:p>
        </w:tc>
        <w:tc>
          <w:tcPr>
            <w:tcW w:w="709" w:type="dxa"/>
            <w:vAlign w:val="center"/>
          </w:tcPr>
          <w:p w:rsidR="00680A0F" w:rsidRDefault="00680A0F" w:rsidP="00680A0F">
            <w:pPr>
              <w:pStyle w:val="ListParagraph"/>
              <w:spacing w:before="60" w:after="60"/>
              <w:ind w:left="0"/>
              <w:contextualSpacing w:val="0"/>
              <w:jc w:val="center"/>
              <w:rPr>
                <w:rFonts w:asciiTheme="minorHAnsi" w:hAnsiTheme="minorHAnsi"/>
              </w:rPr>
            </w:pPr>
            <w:r>
              <w:rPr>
                <w:rFonts w:asciiTheme="minorHAnsi" w:hAnsiTheme="minorHAnsi"/>
              </w:rPr>
              <w:t>A</w:t>
            </w:r>
          </w:p>
        </w:tc>
      </w:tr>
      <w:tr w:rsidR="00680A0F" w:rsidRPr="00334990" w:rsidTr="00F136A7">
        <w:tc>
          <w:tcPr>
            <w:tcW w:w="5528" w:type="dxa"/>
            <w:vAlign w:val="center"/>
          </w:tcPr>
          <w:p w:rsidR="00680A0F" w:rsidRPr="00680A0F" w:rsidRDefault="00680A0F" w:rsidP="00680A0F">
            <w:pPr>
              <w:pStyle w:val="ListParagraph"/>
              <w:spacing w:before="60" w:after="60"/>
              <w:ind w:left="34"/>
              <w:contextualSpacing w:val="0"/>
              <w:jc w:val="right"/>
              <w:rPr>
                <w:rFonts w:asciiTheme="minorHAnsi" w:hAnsiTheme="minorHAnsi"/>
              </w:rPr>
            </w:pPr>
            <w:r w:rsidRPr="00334990">
              <w:rPr>
                <w:rFonts w:asciiTheme="minorHAnsi" w:hAnsiTheme="minorHAnsi"/>
              </w:rPr>
              <w:t>Projected CIL income</w:t>
            </w:r>
          </w:p>
        </w:tc>
        <w:tc>
          <w:tcPr>
            <w:tcW w:w="1985" w:type="dxa"/>
            <w:vAlign w:val="center"/>
          </w:tcPr>
          <w:p w:rsidR="00F136A7" w:rsidRPr="002C514F" w:rsidRDefault="00F136A7" w:rsidP="005860D9">
            <w:pPr>
              <w:spacing w:before="60" w:after="60"/>
              <w:jc w:val="right"/>
              <w:rPr>
                <w:rFonts w:asciiTheme="minorHAnsi" w:hAnsiTheme="minorHAnsi"/>
                <w:bCs/>
              </w:rPr>
            </w:pPr>
            <w:r w:rsidRPr="002C514F">
              <w:rPr>
                <w:rFonts w:asciiTheme="minorHAnsi" w:hAnsiTheme="minorHAnsi"/>
                <w:bCs/>
              </w:rPr>
              <w:t>£</w:t>
            </w:r>
            <w:r w:rsidR="004302AE" w:rsidRPr="002C514F">
              <w:rPr>
                <w:rFonts w:asciiTheme="minorHAnsi" w:hAnsiTheme="minorHAnsi"/>
                <w:lang w:eastAsia="en-GB"/>
              </w:rPr>
              <w:t>47,855,924</w:t>
            </w:r>
          </w:p>
        </w:tc>
        <w:tc>
          <w:tcPr>
            <w:tcW w:w="709" w:type="dxa"/>
            <w:vAlign w:val="center"/>
          </w:tcPr>
          <w:p w:rsidR="00680A0F" w:rsidRPr="002C514F" w:rsidRDefault="00680A0F" w:rsidP="00680A0F">
            <w:pPr>
              <w:pStyle w:val="ListParagraph"/>
              <w:spacing w:before="60" w:after="60"/>
              <w:ind w:left="0"/>
              <w:contextualSpacing w:val="0"/>
              <w:jc w:val="center"/>
              <w:rPr>
                <w:rFonts w:asciiTheme="minorHAnsi" w:hAnsiTheme="minorHAnsi"/>
              </w:rPr>
            </w:pPr>
            <w:r w:rsidRPr="002C514F">
              <w:rPr>
                <w:rFonts w:asciiTheme="minorHAnsi" w:hAnsiTheme="minorHAnsi"/>
              </w:rPr>
              <w:t>B</w:t>
            </w:r>
          </w:p>
        </w:tc>
      </w:tr>
      <w:tr w:rsidR="00680A0F" w:rsidRPr="00334990" w:rsidTr="00680A0F">
        <w:tc>
          <w:tcPr>
            <w:tcW w:w="5528" w:type="dxa"/>
            <w:vAlign w:val="center"/>
          </w:tcPr>
          <w:p w:rsidR="00680A0F" w:rsidRPr="00680A0F" w:rsidRDefault="00680A0F" w:rsidP="00680A0F">
            <w:pPr>
              <w:pStyle w:val="ListParagraph"/>
              <w:spacing w:before="60" w:after="60"/>
              <w:ind w:left="34"/>
              <w:contextualSpacing w:val="0"/>
              <w:jc w:val="right"/>
              <w:rPr>
                <w:rFonts w:asciiTheme="minorHAnsi" w:hAnsiTheme="minorHAnsi"/>
              </w:rPr>
            </w:pPr>
            <w:r>
              <w:rPr>
                <w:rFonts w:asciiTheme="minorHAnsi" w:hAnsiTheme="minorHAnsi"/>
              </w:rPr>
              <w:t>Residual Funding Gap</w:t>
            </w:r>
          </w:p>
        </w:tc>
        <w:tc>
          <w:tcPr>
            <w:tcW w:w="1985" w:type="dxa"/>
            <w:vAlign w:val="center"/>
          </w:tcPr>
          <w:p w:rsidR="00680A0F" w:rsidRPr="002C514F" w:rsidRDefault="00F136A7" w:rsidP="00CC24B1">
            <w:pPr>
              <w:pStyle w:val="ListParagraph"/>
              <w:spacing w:before="60" w:after="60"/>
              <w:ind w:left="0"/>
              <w:contextualSpacing w:val="0"/>
              <w:jc w:val="right"/>
              <w:rPr>
                <w:rFonts w:asciiTheme="minorHAnsi" w:hAnsiTheme="minorHAnsi"/>
              </w:rPr>
            </w:pPr>
            <w:r w:rsidRPr="002C514F">
              <w:rPr>
                <w:rFonts w:asciiTheme="minorHAnsi" w:hAnsiTheme="minorHAnsi"/>
                <w:b/>
              </w:rPr>
              <w:t>£</w:t>
            </w:r>
            <w:r w:rsidR="00CC24B1" w:rsidRPr="002C514F">
              <w:rPr>
                <w:rFonts w:asciiTheme="minorHAnsi" w:hAnsiTheme="minorHAnsi"/>
                <w:b/>
              </w:rPr>
              <w:t>134</w:t>
            </w:r>
            <w:r w:rsidRPr="002C514F">
              <w:rPr>
                <w:rFonts w:asciiTheme="minorHAnsi" w:hAnsiTheme="minorHAnsi"/>
                <w:b/>
              </w:rPr>
              <w:t>,</w:t>
            </w:r>
            <w:r w:rsidR="00CC24B1" w:rsidRPr="002C514F">
              <w:rPr>
                <w:rFonts w:asciiTheme="minorHAnsi" w:hAnsiTheme="minorHAnsi"/>
                <w:b/>
              </w:rPr>
              <w:t>832</w:t>
            </w:r>
            <w:r w:rsidRPr="002C514F">
              <w:rPr>
                <w:rFonts w:asciiTheme="minorHAnsi" w:hAnsiTheme="minorHAnsi"/>
                <w:b/>
              </w:rPr>
              <w:t>,</w:t>
            </w:r>
            <w:r w:rsidR="00CC24B1" w:rsidRPr="002C514F">
              <w:rPr>
                <w:rFonts w:asciiTheme="minorHAnsi" w:hAnsiTheme="minorHAnsi"/>
                <w:b/>
              </w:rPr>
              <w:t>476</w:t>
            </w:r>
          </w:p>
        </w:tc>
        <w:tc>
          <w:tcPr>
            <w:tcW w:w="709" w:type="dxa"/>
            <w:vAlign w:val="center"/>
          </w:tcPr>
          <w:p w:rsidR="00680A0F" w:rsidRPr="002C514F" w:rsidRDefault="00680A0F" w:rsidP="00680A0F">
            <w:pPr>
              <w:pStyle w:val="ListParagraph"/>
              <w:spacing w:before="60" w:after="60"/>
              <w:ind w:left="0"/>
              <w:contextualSpacing w:val="0"/>
              <w:jc w:val="center"/>
              <w:rPr>
                <w:rFonts w:asciiTheme="minorHAnsi" w:hAnsiTheme="minorHAnsi"/>
              </w:rPr>
            </w:pPr>
            <w:r w:rsidRPr="002C514F">
              <w:rPr>
                <w:rFonts w:asciiTheme="minorHAnsi" w:hAnsiTheme="minorHAnsi"/>
              </w:rPr>
              <w:t>A-B</w:t>
            </w:r>
          </w:p>
        </w:tc>
      </w:tr>
    </w:tbl>
    <w:p w:rsidR="004E3699" w:rsidRPr="00334990" w:rsidRDefault="004E3699" w:rsidP="004E3699">
      <w:pPr>
        <w:pStyle w:val="ListParagraph"/>
        <w:ind w:left="709"/>
        <w:rPr>
          <w:rFonts w:asciiTheme="minorHAnsi" w:hAnsiTheme="minorHAnsi"/>
        </w:rPr>
      </w:pPr>
    </w:p>
    <w:p w:rsidR="004E3699" w:rsidRDefault="00680A0F" w:rsidP="004E3699">
      <w:pPr>
        <w:pStyle w:val="ListParagraph"/>
        <w:numPr>
          <w:ilvl w:val="1"/>
          <w:numId w:val="1"/>
        </w:numPr>
        <w:ind w:left="709" w:hanging="709"/>
        <w:rPr>
          <w:rFonts w:asciiTheme="minorHAnsi" w:hAnsiTheme="minorHAnsi"/>
        </w:rPr>
      </w:pPr>
      <w:r w:rsidRPr="00680A0F">
        <w:rPr>
          <w:rFonts w:asciiTheme="minorHAnsi" w:hAnsiTheme="minorHAnsi"/>
        </w:rPr>
        <w:t>This</w:t>
      </w:r>
      <w:r w:rsidR="004E3699" w:rsidRPr="00334990">
        <w:rPr>
          <w:rFonts w:asciiTheme="minorHAnsi" w:hAnsiTheme="minorHAnsi"/>
        </w:rPr>
        <w:t xml:space="preserve"> identifies the existence of a funding gap, and </w:t>
      </w:r>
      <w:r w:rsidR="00626D6E">
        <w:rPr>
          <w:rFonts w:asciiTheme="minorHAnsi" w:hAnsiTheme="minorHAnsi"/>
        </w:rPr>
        <w:t>confirms</w:t>
      </w:r>
      <w:r w:rsidR="004E3699" w:rsidRPr="00334990">
        <w:rPr>
          <w:rFonts w:asciiTheme="minorHAnsi" w:hAnsiTheme="minorHAnsi"/>
        </w:rPr>
        <w:t xml:space="preserve"> that CIL funding will not generate sufficient funds to pay for all of the major infrastructure needs identified in </w:t>
      </w:r>
      <w:proofErr w:type="spellStart"/>
      <w:r>
        <w:rPr>
          <w:rFonts w:asciiTheme="minorHAnsi" w:hAnsiTheme="minorHAnsi"/>
        </w:rPr>
        <w:t>OxIS</w:t>
      </w:r>
      <w:proofErr w:type="spellEnd"/>
      <w:r>
        <w:rPr>
          <w:rFonts w:asciiTheme="minorHAnsi" w:hAnsiTheme="minorHAnsi"/>
        </w:rPr>
        <w:t xml:space="preserve"> and </w:t>
      </w:r>
      <w:r w:rsidR="004E3699" w:rsidRPr="00334990">
        <w:rPr>
          <w:rFonts w:asciiTheme="minorHAnsi" w:hAnsiTheme="minorHAnsi"/>
        </w:rPr>
        <w:t>the Infrastructure Delivery Plan.  It will however make a</w:t>
      </w:r>
      <w:r>
        <w:rPr>
          <w:rFonts w:asciiTheme="minorHAnsi" w:hAnsiTheme="minorHAnsi"/>
        </w:rPr>
        <w:t>n important</w:t>
      </w:r>
      <w:r w:rsidR="004E3699" w:rsidRPr="00334990">
        <w:rPr>
          <w:rFonts w:asciiTheme="minorHAnsi" w:hAnsiTheme="minorHAnsi"/>
        </w:rPr>
        <w:t xml:space="preserve"> contribution towards </w:t>
      </w:r>
      <w:r>
        <w:rPr>
          <w:rFonts w:asciiTheme="minorHAnsi" w:hAnsiTheme="minorHAnsi"/>
        </w:rPr>
        <w:t>infrastructure</w:t>
      </w:r>
      <w:r w:rsidR="004E3699" w:rsidRPr="00334990">
        <w:rPr>
          <w:rFonts w:asciiTheme="minorHAnsi" w:hAnsiTheme="minorHAnsi"/>
        </w:rPr>
        <w:t xml:space="preserve">. </w:t>
      </w:r>
    </w:p>
    <w:p w:rsidR="0042078F" w:rsidRPr="00334990" w:rsidRDefault="0042078F" w:rsidP="0042078F">
      <w:pPr>
        <w:pStyle w:val="ListParagraph"/>
        <w:ind w:left="1985"/>
        <w:rPr>
          <w:rFonts w:asciiTheme="minorHAnsi" w:hAnsiTheme="minorHAnsi"/>
        </w:rPr>
      </w:pPr>
    </w:p>
    <w:p w:rsidR="00260573" w:rsidRPr="004E3699" w:rsidRDefault="00260573" w:rsidP="004E3699">
      <w:pPr>
        <w:rPr>
          <w:rFonts w:asciiTheme="minorHAnsi" w:hAnsiTheme="minorHAnsi"/>
          <w:b/>
        </w:rPr>
      </w:pPr>
      <w:r w:rsidRPr="004E3699">
        <w:rPr>
          <w:rFonts w:asciiTheme="minorHAnsi" w:hAnsiTheme="minorHAnsi"/>
          <w:b/>
        </w:rPr>
        <w:t>Other Funding Sources</w:t>
      </w:r>
    </w:p>
    <w:p w:rsidR="00C6201C" w:rsidRDefault="00C6201C" w:rsidP="00C6201C">
      <w:pPr>
        <w:pStyle w:val="ListParagraph"/>
        <w:numPr>
          <w:ilvl w:val="1"/>
          <w:numId w:val="1"/>
        </w:numPr>
        <w:ind w:left="709" w:hanging="709"/>
        <w:rPr>
          <w:rFonts w:asciiTheme="minorHAnsi" w:hAnsiTheme="minorHAnsi"/>
        </w:rPr>
      </w:pPr>
      <w:r>
        <w:rPr>
          <w:rFonts w:asciiTheme="minorHAnsi" w:hAnsiTheme="minorHAnsi"/>
        </w:rPr>
        <w:t>Clearly other sources of funding will be required in order to progress infrastructure projects identified to support growth set out</w:t>
      </w:r>
      <w:r w:rsidR="00551BB0">
        <w:rPr>
          <w:rFonts w:asciiTheme="minorHAnsi" w:hAnsiTheme="minorHAnsi"/>
        </w:rPr>
        <w:t xml:space="preserve"> in the Local Plan</w:t>
      </w:r>
      <w:r w:rsidR="00CE0183" w:rsidRPr="00334990">
        <w:rPr>
          <w:rFonts w:asciiTheme="minorHAnsi" w:hAnsiTheme="minorHAnsi"/>
        </w:rPr>
        <w:t>.</w:t>
      </w:r>
      <w:r>
        <w:rPr>
          <w:rFonts w:asciiTheme="minorHAnsi" w:hAnsiTheme="minorHAnsi"/>
        </w:rPr>
        <w:t xml:space="preserve"> </w:t>
      </w:r>
      <w:r w:rsidR="001B209B" w:rsidRPr="001B209B">
        <w:rPr>
          <w:rFonts w:asciiTheme="minorHAnsi" w:hAnsiTheme="minorHAnsi"/>
        </w:rPr>
        <w:t>Some of the higher cost, more strategic infrastructure schemes will need to be supported through government funding bids and significant funding pots or</w:t>
      </w:r>
      <w:r w:rsidR="001B209B" w:rsidRPr="00334990">
        <w:rPr>
          <w:rFonts w:asciiTheme="minorHAnsi" w:hAnsiTheme="minorHAnsi"/>
        </w:rPr>
        <w:t xml:space="preserve"> funded direct by the service or utility providers</w:t>
      </w:r>
      <w:r w:rsidR="001B209B">
        <w:rPr>
          <w:rFonts w:asciiTheme="minorHAnsi" w:hAnsiTheme="minorHAnsi"/>
        </w:rPr>
        <w:t>.</w:t>
      </w:r>
      <w:r w:rsidR="00443352">
        <w:rPr>
          <w:rFonts w:asciiTheme="minorHAnsi" w:hAnsiTheme="minorHAnsi"/>
        </w:rPr>
        <w:t xml:space="preserve"> For example the Flood Alleviation scheme has all but £4million of its funding secured. Table 1.44 of </w:t>
      </w:r>
      <w:proofErr w:type="spellStart"/>
      <w:r w:rsidR="00443352">
        <w:rPr>
          <w:rFonts w:asciiTheme="minorHAnsi" w:hAnsiTheme="minorHAnsi"/>
        </w:rPr>
        <w:t>OxIS</w:t>
      </w:r>
      <w:proofErr w:type="spellEnd"/>
      <w:r w:rsidR="00443352">
        <w:rPr>
          <w:rFonts w:asciiTheme="minorHAnsi" w:hAnsiTheme="minorHAnsi"/>
        </w:rPr>
        <w:t xml:space="preserve"> includes an assessment of other funding sources. Some specific potential sources are detailed below.</w:t>
      </w:r>
    </w:p>
    <w:p w:rsidR="00C6201C" w:rsidRDefault="00C6201C" w:rsidP="00C6201C">
      <w:pPr>
        <w:pStyle w:val="ListParagraph"/>
        <w:ind w:left="709"/>
        <w:rPr>
          <w:rFonts w:asciiTheme="minorHAnsi" w:hAnsiTheme="minorHAnsi"/>
        </w:rPr>
      </w:pPr>
    </w:p>
    <w:p w:rsidR="00C6201C" w:rsidRPr="00C6201C" w:rsidRDefault="00C6201C" w:rsidP="00C6201C">
      <w:pPr>
        <w:rPr>
          <w:rFonts w:asciiTheme="minorHAnsi" w:hAnsiTheme="minorHAnsi"/>
          <w:i/>
        </w:rPr>
      </w:pPr>
      <w:r w:rsidRPr="00C6201C">
        <w:rPr>
          <w:rFonts w:asciiTheme="minorHAnsi" w:hAnsiTheme="minorHAnsi"/>
          <w:i/>
        </w:rPr>
        <w:t xml:space="preserve">Projected S.106 Income </w:t>
      </w:r>
    </w:p>
    <w:p w:rsidR="00C6201C" w:rsidRPr="00C6201C" w:rsidRDefault="00C6201C" w:rsidP="00C6201C">
      <w:pPr>
        <w:pStyle w:val="ListParagraph"/>
        <w:numPr>
          <w:ilvl w:val="1"/>
          <w:numId w:val="1"/>
        </w:numPr>
        <w:ind w:left="709" w:hanging="709"/>
        <w:rPr>
          <w:rFonts w:asciiTheme="minorHAnsi" w:hAnsiTheme="minorHAnsi"/>
        </w:rPr>
      </w:pPr>
      <w:r w:rsidRPr="00C6201C">
        <w:rPr>
          <w:rFonts w:asciiTheme="minorHAnsi" w:hAnsiTheme="minorHAnsi"/>
        </w:rPr>
        <w:t>A</w:t>
      </w:r>
      <w:r w:rsidR="00CE0183" w:rsidRPr="00C6201C">
        <w:rPr>
          <w:rFonts w:asciiTheme="minorHAnsi" w:hAnsiTheme="minorHAnsi"/>
        </w:rPr>
        <w:t xml:space="preserve"> potential </w:t>
      </w:r>
      <w:r w:rsidR="003E4B56" w:rsidRPr="00C6201C">
        <w:rPr>
          <w:rFonts w:asciiTheme="minorHAnsi" w:hAnsiTheme="minorHAnsi"/>
        </w:rPr>
        <w:t>source of income is developer contributions secured via S.106</w:t>
      </w:r>
      <w:r w:rsidR="008A2807" w:rsidRPr="00C6201C">
        <w:rPr>
          <w:rFonts w:asciiTheme="minorHAnsi" w:hAnsiTheme="minorHAnsi"/>
        </w:rPr>
        <w:t xml:space="preserve"> A</w:t>
      </w:r>
      <w:r w:rsidR="003E4B56" w:rsidRPr="00C6201C">
        <w:rPr>
          <w:rFonts w:asciiTheme="minorHAnsi" w:hAnsiTheme="minorHAnsi"/>
        </w:rPr>
        <w:t>greements</w:t>
      </w:r>
      <w:r w:rsidR="008A2807" w:rsidRPr="00C6201C">
        <w:rPr>
          <w:rFonts w:asciiTheme="minorHAnsi" w:hAnsiTheme="minorHAnsi"/>
        </w:rPr>
        <w:t xml:space="preserve"> for infrastructure related</w:t>
      </w:r>
      <w:r w:rsidR="00D60E13">
        <w:rPr>
          <w:rFonts w:asciiTheme="minorHAnsi" w:hAnsiTheme="minorHAnsi"/>
        </w:rPr>
        <w:t xml:space="preserve"> to</w:t>
      </w:r>
      <w:r w:rsidR="008A2807" w:rsidRPr="00C6201C">
        <w:rPr>
          <w:rFonts w:asciiTheme="minorHAnsi" w:hAnsiTheme="minorHAnsi"/>
        </w:rPr>
        <w:t xml:space="preserve"> on- site mitigation</w:t>
      </w:r>
      <w:r w:rsidRPr="00C6201C">
        <w:rPr>
          <w:rFonts w:asciiTheme="minorHAnsi" w:hAnsiTheme="minorHAnsi"/>
        </w:rPr>
        <w:t xml:space="preserve">. </w:t>
      </w:r>
      <w:r w:rsidRPr="00C6201C">
        <w:rPr>
          <w:rFonts w:asciiTheme="minorHAnsi" w:hAnsiTheme="minorHAnsi"/>
          <w:color w:val="0B0C0C"/>
          <w:shd w:val="clear" w:color="auto" w:fill="FFFFFF"/>
        </w:rPr>
        <w:t>Planning obligations assist in mitigating the impact of unacceptable development to make it acceptable in planning terms. Planning obligations may only constitute a reason for granting planning permission if they meet the tests that they are necessary to make the development acceptable in planning terms, directly related to the development, and fairly and reasonably related in scale and kind.</w:t>
      </w:r>
    </w:p>
    <w:p w:rsidR="00C6201C" w:rsidRPr="00C6201C" w:rsidRDefault="00C6201C" w:rsidP="00C6201C">
      <w:pPr>
        <w:pStyle w:val="ListParagraph"/>
        <w:ind w:left="709"/>
        <w:rPr>
          <w:rFonts w:asciiTheme="minorHAnsi" w:hAnsiTheme="minorHAnsi"/>
        </w:rPr>
      </w:pPr>
    </w:p>
    <w:p w:rsidR="00163326" w:rsidRPr="00C6201C" w:rsidRDefault="003E4B56" w:rsidP="00C6201C">
      <w:pPr>
        <w:pStyle w:val="ListParagraph"/>
        <w:numPr>
          <w:ilvl w:val="1"/>
          <w:numId w:val="1"/>
        </w:numPr>
        <w:ind w:left="709" w:hanging="709"/>
        <w:rPr>
          <w:rFonts w:asciiTheme="minorHAnsi" w:hAnsiTheme="minorHAnsi"/>
        </w:rPr>
      </w:pPr>
      <w:r w:rsidRPr="00C6201C">
        <w:rPr>
          <w:rFonts w:asciiTheme="minorHAnsi" w:hAnsiTheme="minorHAnsi"/>
        </w:rPr>
        <w:t xml:space="preserve">Whilst this potential income </w:t>
      </w:r>
      <w:r w:rsidR="00D60E13">
        <w:rPr>
          <w:rFonts w:asciiTheme="minorHAnsi" w:hAnsiTheme="minorHAnsi"/>
        </w:rPr>
        <w:t xml:space="preserve">must be used to fund the specific works related to the planning permission, the works might have a secondary effect of improving strategic infrastructure identified in </w:t>
      </w:r>
      <w:proofErr w:type="spellStart"/>
      <w:r w:rsidR="00D60E13">
        <w:rPr>
          <w:rFonts w:asciiTheme="minorHAnsi" w:hAnsiTheme="minorHAnsi"/>
        </w:rPr>
        <w:t>OxiS</w:t>
      </w:r>
      <w:proofErr w:type="spellEnd"/>
      <w:r w:rsidR="00D60E13">
        <w:rPr>
          <w:rFonts w:asciiTheme="minorHAnsi" w:hAnsiTheme="minorHAnsi"/>
        </w:rPr>
        <w:t>. For example, a S106 contribution taken to create a cycle path into and through a development site might have a knock on improvement to the strategic cycle network and thus contributing to wider infrastructure projects</w:t>
      </w:r>
      <w:r w:rsidRPr="00C6201C">
        <w:rPr>
          <w:rFonts w:asciiTheme="minorHAnsi" w:hAnsiTheme="minorHAnsi"/>
        </w:rPr>
        <w:t xml:space="preserve">.   </w:t>
      </w:r>
    </w:p>
    <w:p w:rsidR="003E4B56" w:rsidRPr="00334990" w:rsidRDefault="003E4B56" w:rsidP="003E4B56">
      <w:pPr>
        <w:pStyle w:val="ListParagraph"/>
        <w:ind w:left="709"/>
        <w:rPr>
          <w:rFonts w:asciiTheme="minorHAnsi" w:hAnsiTheme="minorHAnsi"/>
        </w:rPr>
      </w:pPr>
    </w:p>
    <w:p w:rsidR="00D60E13" w:rsidRPr="00F92FB8" w:rsidRDefault="00D60E13" w:rsidP="00D60E13">
      <w:pPr>
        <w:pStyle w:val="ListParagraph"/>
        <w:numPr>
          <w:ilvl w:val="1"/>
          <w:numId w:val="1"/>
        </w:numPr>
        <w:ind w:left="709" w:hanging="709"/>
        <w:rPr>
          <w:rFonts w:asciiTheme="minorHAnsi" w:hAnsiTheme="minorHAnsi"/>
        </w:rPr>
      </w:pPr>
      <w:r>
        <w:rPr>
          <w:rFonts w:asciiTheme="minorHAnsi" w:hAnsiTheme="minorHAnsi"/>
        </w:rPr>
        <w:t>I</w:t>
      </w:r>
      <w:r w:rsidRPr="00334990">
        <w:rPr>
          <w:rFonts w:asciiTheme="minorHAnsi" w:hAnsiTheme="minorHAnsi"/>
        </w:rPr>
        <w:t xml:space="preserve">t is anticipated that </w:t>
      </w:r>
      <w:r>
        <w:rPr>
          <w:rFonts w:asciiTheme="minorHAnsi" w:hAnsiTheme="minorHAnsi"/>
        </w:rPr>
        <w:t xml:space="preserve">a threshold will be used to determine which strategic sites would fall outside the CIL regime and whose infrastructure would be entirely funded through S.106. Northern Gateway is anticipated to fall outside </w:t>
      </w:r>
      <w:r w:rsidR="001B209B">
        <w:rPr>
          <w:rFonts w:asciiTheme="minorHAnsi" w:hAnsiTheme="minorHAnsi"/>
        </w:rPr>
        <w:t xml:space="preserve">the CIL regime and </w:t>
      </w:r>
      <w:r>
        <w:rPr>
          <w:rFonts w:asciiTheme="minorHAnsi" w:hAnsiTheme="minorHAnsi"/>
        </w:rPr>
        <w:t xml:space="preserve">could secure </w:t>
      </w:r>
      <w:r w:rsidRPr="00334990">
        <w:rPr>
          <w:rFonts w:asciiTheme="minorHAnsi" w:hAnsiTheme="minorHAnsi"/>
        </w:rPr>
        <w:t xml:space="preserve">a </w:t>
      </w:r>
      <w:r w:rsidR="00626D6E">
        <w:rPr>
          <w:rFonts w:asciiTheme="minorHAnsi" w:hAnsiTheme="minorHAnsi"/>
        </w:rPr>
        <w:t>significant</w:t>
      </w:r>
      <w:r w:rsidRPr="00334990">
        <w:rPr>
          <w:rFonts w:asciiTheme="minorHAnsi" w:hAnsiTheme="minorHAnsi"/>
        </w:rPr>
        <w:t xml:space="preserve"> S.106 contribution</w:t>
      </w:r>
      <w:r w:rsidRPr="00F92FB8">
        <w:rPr>
          <w:rFonts w:asciiTheme="minorHAnsi" w:hAnsiTheme="minorHAnsi"/>
        </w:rPr>
        <w:t xml:space="preserve">.        </w:t>
      </w:r>
    </w:p>
    <w:p w:rsidR="00B76C60" w:rsidRPr="00F92FB8" w:rsidRDefault="00B76C60" w:rsidP="00B76C60">
      <w:pPr>
        <w:pStyle w:val="ListParagraph"/>
        <w:rPr>
          <w:rFonts w:asciiTheme="minorHAnsi" w:hAnsiTheme="minorHAnsi"/>
        </w:rPr>
      </w:pPr>
    </w:p>
    <w:p w:rsidR="00B76C60" w:rsidRPr="00443352" w:rsidRDefault="00626D6E" w:rsidP="004E3699">
      <w:pPr>
        <w:rPr>
          <w:rFonts w:asciiTheme="minorHAnsi" w:hAnsiTheme="minorHAnsi"/>
          <w:i/>
        </w:rPr>
      </w:pPr>
      <w:r w:rsidRPr="00443352">
        <w:rPr>
          <w:rFonts w:asciiTheme="minorHAnsi" w:hAnsiTheme="minorHAnsi"/>
          <w:i/>
        </w:rPr>
        <w:t xml:space="preserve">Housing </w:t>
      </w:r>
      <w:r w:rsidR="00B76C60" w:rsidRPr="00443352">
        <w:rPr>
          <w:rFonts w:asciiTheme="minorHAnsi" w:hAnsiTheme="minorHAnsi"/>
          <w:i/>
        </w:rPr>
        <w:t>Growth Deal</w:t>
      </w:r>
      <w:r w:rsidR="00443352" w:rsidRPr="00443352">
        <w:rPr>
          <w:rFonts w:asciiTheme="minorHAnsi" w:hAnsiTheme="minorHAnsi"/>
          <w:i/>
        </w:rPr>
        <w:t xml:space="preserve"> and the Industrial Strategy</w:t>
      </w:r>
    </w:p>
    <w:p w:rsidR="00443352" w:rsidRPr="00443352" w:rsidRDefault="00443352" w:rsidP="00443352">
      <w:pPr>
        <w:pStyle w:val="ListParagraph"/>
        <w:numPr>
          <w:ilvl w:val="1"/>
          <w:numId w:val="14"/>
        </w:numPr>
        <w:ind w:left="709" w:hanging="709"/>
        <w:rPr>
          <w:rFonts w:asciiTheme="minorHAnsi" w:hAnsiTheme="minorHAnsi" w:cstheme="minorHAnsi"/>
        </w:rPr>
      </w:pPr>
      <w:r>
        <w:rPr>
          <w:rFonts w:asciiTheme="minorHAnsi" w:hAnsiTheme="minorHAnsi"/>
        </w:rPr>
        <w:t xml:space="preserve">The Government </w:t>
      </w:r>
      <w:r w:rsidRPr="00443352">
        <w:rPr>
          <w:rFonts w:asciiTheme="minorHAnsi" w:hAnsiTheme="minorHAnsi"/>
        </w:rPr>
        <w:t>ha</w:t>
      </w:r>
      <w:r>
        <w:rPr>
          <w:rFonts w:asciiTheme="minorHAnsi" w:hAnsiTheme="minorHAnsi"/>
        </w:rPr>
        <w:t>s</w:t>
      </w:r>
      <w:r w:rsidRPr="00443352">
        <w:rPr>
          <w:rFonts w:asciiTheme="minorHAnsi" w:hAnsiTheme="minorHAnsi"/>
        </w:rPr>
        <w:t xml:space="preserve"> announced a housing deal with Oxfordshire to deliver 100,000 homes by 2031 and a joint statutory spatial plan, supported by government investment of up to £215m for infrastructure, affordable housing and local capacity.</w:t>
      </w:r>
    </w:p>
    <w:p w:rsidR="00443352" w:rsidRPr="00443352" w:rsidRDefault="00443352" w:rsidP="00443352">
      <w:pPr>
        <w:pStyle w:val="ListParagraph"/>
        <w:ind w:left="709"/>
        <w:rPr>
          <w:rFonts w:asciiTheme="minorHAnsi" w:hAnsiTheme="minorHAnsi" w:cstheme="minorHAnsi"/>
        </w:rPr>
      </w:pPr>
    </w:p>
    <w:p w:rsidR="00914077" w:rsidRPr="009228EA" w:rsidRDefault="001B209B" w:rsidP="009228EA">
      <w:pPr>
        <w:pStyle w:val="ListParagraph"/>
        <w:numPr>
          <w:ilvl w:val="1"/>
          <w:numId w:val="14"/>
        </w:numPr>
        <w:ind w:left="709" w:hanging="709"/>
        <w:rPr>
          <w:rFonts w:asciiTheme="minorHAnsi" w:hAnsiTheme="minorHAnsi" w:cstheme="minorHAnsi"/>
        </w:rPr>
      </w:pPr>
      <w:r w:rsidRPr="009228EA">
        <w:rPr>
          <w:rFonts w:asciiTheme="minorHAnsi" w:hAnsiTheme="minorHAnsi"/>
          <w:lang w:val="en"/>
        </w:rPr>
        <w:lastRenderedPageBreak/>
        <w:t xml:space="preserve">£150m of </w:t>
      </w:r>
      <w:r w:rsidR="00443352" w:rsidRPr="009228EA">
        <w:rPr>
          <w:rFonts w:asciiTheme="minorHAnsi" w:hAnsiTheme="minorHAnsi"/>
          <w:lang w:val="en"/>
        </w:rPr>
        <w:t xml:space="preserve">this </w:t>
      </w:r>
      <w:r w:rsidRPr="009228EA">
        <w:rPr>
          <w:rFonts w:asciiTheme="minorHAnsi" w:hAnsiTheme="minorHAnsi"/>
          <w:lang w:val="en"/>
        </w:rPr>
        <w:t xml:space="preserve">investment </w:t>
      </w:r>
      <w:r w:rsidR="00443352" w:rsidRPr="009228EA">
        <w:rPr>
          <w:rFonts w:asciiTheme="minorHAnsi" w:hAnsiTheme="minorHAnsi"/>
          <w:lang w:val="en"/>
        </w:rPr>
        <w:t xml:space="preserve">is </w:t>
      </w:r>
      <w:r w:rsidRPr="009228EA">
        <w:rPr>
          <w:rFonts w:asciiTheme="minorHAnsi" w:hAnsiTheme="minorHAnsi"/>
          <w:lang w:val="en"/>
        </w:rPr>
        <w:t xml:space="preserve">for infrastructure across </w:t>
      </w:r>
      <w:proofErr w:type="spellStart"/>
      <w:r w:rsidRPr="009228EA">
        <w:rPr>
          <w:rFonts w:asciiTheme="minorHAnsi" w:hAnsiTheme="minorHAnsi"/>
          <w:lang w:val="en"/>
        </w:rPr>
        <w:t>Oxfordshire</w:t>
      </w:r>
      <w:proofErr w:type="spellEnd"/>
      <w:r w:rsidRPr="009228EA">
        <w:rPr>
          <w:rFonts w:asciiTheme="minorHAnsi" w:hAnsiTheme="minorHAnsi"/>
          <w:lang w:val="en"/>
        </w:rPr>
        <w:t>, including road and rail.</w:t>
      </w:r>
      <w:r w:rsidR="00F92FB8" w:rsidRPr="009228EA">
        <w:rPr>
          <w:rFonts w:asciiTheme="minorHAnsi" w:hAnsiTheme="minorHAnsi"/>
          <w:lang w:val="en"/>
        </w:rPr>
        <w:t xml:space="preserve"> </w:t>
      </w:r>
      <w:r w:rsidRPr="009228EA">
        <w:rPr>
          <w:rFonts w:asciiTheme="minorHAnsi" w:hAnsiTheme="minorHAnsi"/>
          <w:lang w:val="en"/>
        </w:rPr>
        <w:t xml:space="preserve"> </w:t>
      </w:r>
      <w:proofErr w:type="spellStart"/>
      <w:r w:rsidRPr="009228EA">
        <w:rPr>
          <w:rFonts w:asciiTheme="minorHAnsi" w:hAnsiTheme="minorHAnsi"/>
          <w:lang w:val="en"/>
        </w:rPr>
        <w:t>OxIS</w:t>
      </w:r>
      <w:proofErr w:type="spellEnd"/>
      <w:r w:rsidRPr="009228EA">
        <w:rPr>
          <w:rFonts w:asciiTheme="minorHAnsi" w:hAnsiTheme="minorHAnsi"/>
          <w:lang w:val="en"/>
        </w:rPr>
        <w:t xml:space="preserve"> will be used to </w:t>
      </w:r>
      <w:r w:rsidR="00F92FB8" w:rsidRPr="009228EA">
        <w:rPr>
          <w:rFonts w:asciiTheme="minorHAnsi" w:hAnsiTheme="minorHAnsi"/>
          <w:lang w:val="en"/>
        </w:rPr>
        <w:t>inform where funding will be spent</w:t>
      </w:r>
      <w:r w:rsidRPr="009228EA">
        <w:rPr>
          <w:rFonts w:asciiTheme="minorHAnsi" w:hAnsiTheme="minorHAnsi"/>
          <w:lang w:val="en"/>
        </w:rPr>
        <w:t xml:space="preserve"> to unlock growth in </w:t>
      </w:r>
      <w:r w:rsidR="00F92FB8" w:rsidRPr="009228EA">
        <w:rPr>
          <w:rFonts w:asciiTheme="minorHAnsi" w:hAnsiTheme="minorHAnsi"/>
          <w:lang w:val="en"/>
        </w:rPr>
        <w:t xml:space="preserve">the county of </w:t>
      </w:r>
      <w:proofErr w:type="spellStart"/>
      <w:r w:rsidRPr="009228EA">
        <w:rPr>
          <w:rFonts w:asciiTheme="minorHAnsi" w:hAnsiTheme="minorHAnsi"/>
          <w:lang w:val="en"/>
        </w:rPr>
        <w:t>Oxfor</w:t>
      </w:r>
      <w:r w:rsidR="00F92FB8" w:rsidRPr="009228EA">
        <w:rPr>
          <w:rFonts w:asciiTheme="minorHAnsi" w:hAnsiTheme="minorHAnsi"/>
          <w:lang w:val="en"/>
        </w:rPr>
        <w:t>d</w:t>
      </w:r>
      <w:r w:rsidRPr="009228EA">
        <w:rPr>
          <w:rFonts w:asciiTheme="minorHAnsi" w:hAnsiTheme="minorHAnsi"/>
          <w:lang w:val="en"/>
        </w:rPr>
        <w:t>shire</w:t>
      </w:r>
      <w:proofErr w:type="spellEnd"/>
      <w:r w:rsidR="00F92FB8" w:rsidRPr="009228EA">
        <w:rPr>
          <w:rFonts w:asciiTheme="minorHAnsi" w:hAnsiTheme="minorHAnsi"/>
          <w:lang w:val="en"/>
        </w:rPr>
        <w:t xml:space="preserve"> so </w:t>
      </w:r>
      <w:r w:rsidR="005E70BE" w:rsidRPr="009228EA">
        <w:rPr>
          <w:rFonts w:asciiTheme="minorHAnsi" w:hAnsiTheme="minorHAnsi"/>
          <w:lang w:val="en"/>
        </w:rPr>
        <w:t>it is likely that a proportion will be spend on projects improving Oxford’s infrastructure.</w:t>
      </w:r>
      <w:r w:rsidR="009228EA" w:rsidRPr="009228EA">
        <w:rPr>
          <w:rFonts w:asciiTheme="minorHAnsi" w:hAnsiTheme="minorHAnsi"/>
          <w:lang w:val="en"/>
        </w:rPr>
        <w:t xml:space="preserve"> </w:t>
      </w:r>
    </w:p>
    <w:p w:rsidR="00F92FB8" w:rsidRDefault="00F92FB8" w:rsidP="00F92FB8">
      <w:pPr>
        <w:pStyle w:val="ListParagraph"/>
        <w:ind w:left="709"/>
        <w:rPr>
          <w:rFonts w:asciiTheme="minorHAnsi" w:hAnsiTheme="minorHAnsi" w:cstheme="minorHAnsi"/>
        </w:rPr>
      </w:pPr>
    </w:p>
    <w:p w:rsidR="00F92FB8" w:rsidRPr="00F92FB8" w:rsidRDefault="00F92FB8" w:rsidP="00F92FB8">
      <w:pPr>
        <w:rPr>
          <w:rFonts w:asciiTheme="minorHAnsi" w:hAnsiTheme="minorHAnsi"/>
          <w:i/>
        </w:rPr>
      </w:pPr>
      <w:r w:rsidRPr="00F92FB8">
        <w:rPr>
          <w:rFonts w:asciiTheme="minorHAnsi" w:hAnsiTheme="minorHAnsi"/>
          <w:i/>
        </w:rPr>
        <w:t>National Infrastructure Commission (NIC)</w:t>
      </w:r>
    </w:p>
    <w:p w:rsidR="00F92FB8" w:rsidRPr="00AA6456" w:rsidRDefault="00ED3B8B" w:rsidP="00F92FB8">
      <w:pPr>
        <w:pStyle w:val="ListParagraph"/>
        <w:numPr>
          <w:ilvl w:val="1"/>
          <w:numId w:val="14"/>
        </w:numPr>
        <w:ind w:left="709" w:hanging="709"/>
        <w:rPr>
          <w:rFonts w:asciiTheme="minorHAnsi" w:hAnsiTheme="minorHAnsi" w:cstheme="minorHAnsi"/>
        </w:rPr>
      </w:pPr>
      <w:r w:rsidRPr="00AA6456">
        <w:rPr>
          <w:rFonts w:asciiTheme="minorHAnsi" w:hAnsiTheme="minorHAnsi"/>
        </w:rPr>
        <w:t>The National Infrastructure Commission was been asked to provide Government with proposals and options to maximise the potential of the Cambridge-Milton Keynes-Oxford arc as a connected, knowledge-intensive cluster that competes on a global stage, protecting the area’s high quality environment, and securing the homes and jobs that the area needs.</w:t>
      </w:r>
    </w:p>
    <w:p w:rsidR="00ED3B8B" w:rsidRPr="00AA6456" w:rsidRDefault="00ED3B8B" w:rsidP="00ED3B8B">
      <w:pPr>
        <w:pStyle w:val="ListParagraph"/>
        <w:ind w:left="709"/>
        <w:rPr>
          <w:rFonts w:asciiTheme="minorHAnsi" w:hAnsiTheme="minorHAnsi" w:cstheme="minorHAnsi"/>
        </w:rPr>
      </w:pPr>
    </w:p>
    <w:p w:rsidR="00ED3B8B" w:rsidRPr="00AA6456" w:rsidRDefault="00ED3B8B" w:rsidP="00F92FB8">
      <w:pPr>
        <w:pStyle w:val="ListParagraph"/>
        <w:numPr>
          <w:ilvl w:val="1"/>
          <w:numId w:val="14"/>
        </w:numPr>
        <w:ind w:left="709" w:hanging="709"/>
        <w:rPr>
          <w:rFonts w:asciiTheme="minorHAnsi" w:hAnsiTheme="minorHAnsi" w:cstheme="minorHAnsi"/>
        </w:rPr>
      </w:pPr>
      <w:r w:rsidRPr="00AA6456">
        <w:rPr>
          <w:rFonts w:asciiTheme="minorHAnsi" w:hAnsiTheme="minorHAnsi"/>
        </w:rPr>
        <w:t>The Commission’s central finding is that rates of house building will need to double if the arc is to achieve its economic potentia</w:t>
      </w:r>
      <w:r w:rsidR="00AA6456" w:rsidRPr="00AA6456">
        <w:rPr>
          <w:rFonts w:asciiTheme="minorHAnsi" w:hAnsiTheme="minorHAnsi"/>
        </w:rPr>
        <w:t>l requiring</w:t>
      </w:r>
      <w:r w:rsidRPr="00AA6456">
        <w:rPr>
          <w:rFonts w:asciiTheme="minorHAnsi" w:hAnsiTheme="minorHAnsi"/>
        </w:rPr>
        <w:t xml:space="preserve"> a new deal betwe</w:t>
      </w:r>
      <w:r w:rsidR="00626D6E">
        <w:rPr>
          <w:rFonts w:asciiTheme="minorHAnsi" w:hAnsiTheme="minorHAnsi"/>
        </w:rPr>
        <w:t>en central and local government.</w:t>
      </w:r>
      <w:r w:rsidRPr="00AA6456">
        <w:rPr>
          <w:rFonts w:asciiTheme="minorHAnsi" w:hAnsiTheme="minorHAnsi"/>
        </w:rPr>
        <w:t xml:space="preserve"> Infrastructure will be a vital part of this investment package particularly transport infrastructure</w:t>
      </w:r>
      <w:r w:rsidR="00AA6456">
        <w:rPr>
          <w:rFonts w:asciiTheme="minorHAnsi" w:hAnsiTheme="minorHAnsi"/>
        </w:rPr>
        <w:t>.</w:t>
      </w:r>
    </w:p>
    <w:p w:rsidR="00ED3B8B" w:rsidRPr="00AA6456" w:rsidRDefault="00ED3B8B" w:rsidP="00ED3B8B">
      <w:pPr>
        <w:pStyle w:val="ListParagraph"/>
        <w:rPr>
          <w:rFonts w:asciiTheme="minorHAnsi" w:hAnsiTheme="minorHAnsi" w:cstheme="minorHAnsi"/>
        </w:rPr>
      </w:pPr>
    </w:p>
    <w:p w:rsidR="00B76C60" w:rsidRPr="00AA6456" w:rsidRDefault="00AA6456" w:rsidP="00AA6456">
      <w:pPr>
        <w:pStyle w:val="ListParagraph"/>
        <w:numPr>
          <w:ilvl w:val="1"/>
          <w:numId w:val="14"/>
        </w:numPr>
        <w:ind w:left="709" w:hanging="709"/>
        <w:rPr>
          <w:rFonts w:asciiTheme="minorHAnsi" w:hAnsiTheme="minorHAnsi" w:cstheme="minorHAnsi"/>
        </w:rPr>
      </w:pPr>
      <w:r w:rsidRPr="00AA6456">
        <w:rPr>
          <w:rFonts w:asciiTheme="minorHAnsi" w:hAnsiTheme="minorHAnsi"/>
        </w:rPr>
        <w:t xml:space="preserve">Specific recommendations by the </w:t>
      </w:r>
      <w:r w:rsidR="00ED3B8B" w:rsidRPr="00AA6456">
        <w:rPr>
          <w:rFonts w:asciiTheme="minorHAnsi" w:hAnsiTheme="minorHAnsi"/>
        </w:rPr>
        <w:t xml:space="preserve">Commission </w:t>
      </w:r>
      <w:r w:rsidRPr="00AA6456">
        <w:rPr>
          <w:rFonts w:asciiTheme="minorHAnsi" w:hAnsiTheme="minorHAnsi"/>
        </w:rPr>
        <w:t>are</w:t>
      </w:r>
      <w:r>
        <w:rPr>
          <w:rFonts w:asciiTheme="minorHAnsi" w:hAnsiTheme="minorHAnsi"/>
        </w:rPr>
        <w:t>:</w:t>
      </w:r>
    </w:p>
    <w:p w:rsidR="00AA6456" w:rsidRPr="00AA6456" w:rsidRDefault="00AA6456" w:rsidP="00AA6456">
      <w:pPr>
        <w:pStyle w:val="ListParagraph"/>
        <w:rPr>
          <w:rFonts w:asciiTheme="minorHAnsi" w:hAnsiTheme="minorHAnsi" w:cstheme="minorHAnsi"/>
        </w:rPr>
      </w:pPr>
    </w:p>
    <w:p w:rsidR="00AA6456" w:rsidRPr="00AA6456" w:rsidRDefault="00AA6456" w:rsidP="00AA6456">
      <w:pPr>
        <w:pStyle w:val="ListParagraph"/>
        <w:numPr>
          <w:ilvl w:val="0"/>
          <w:numId w:val="13"/>
        </w:numPr>
        <w:spacing w:after="120"/>
        <w:ind w:left="993" w:hanging="357"/>
        <w:contextualSpacing w:val="0"/>
        <w:rPr>
          <w:rFonts w:asciiTheme="minorHAnsi" w:hAnsiTheme="minorHAnsi" w:cstheme="minorHAnsi"/>
        </w:rPr>
      </w:pPr>
      <w:r w:rsidRPr="00AA6456">
        <w:rPr>
          <w:rFonts w:asciiTheme="minorHAnsi" w:hAnsiTheme="minorHAnsi" w:cstheme="minorHAnsi"/>
        </w:rPr>
        <w:t>Government</w:t>
      </w:r>
      <w:r w:rsidRPr="00AA6456">
        <w:rPr>
          <w:rFonts w:asciiTheme="minorHAnsi" w:hAnsiTheme="minorHAnsi"/>
        </w:rPr>
        <w:t xml:space="preserve"> should work with the private sector and the relevant local authorities to agree funding packages and progress schemes to support housing and employment growth now. These should include essential works required to enable passenger services between Oxford and </w:t>
      </w:r>
      <w:proofErr w:type="spellStart"/>
      <w:r w:rsidRPr="00AA6456">
        <w:rPr>
          <w:rFonts w:asciiTheme="minorHAnsi" w:hAnsiTheme="minorHAnsi"/>
        </w:rPr>
        <w:t>Cowley</w:t>
      </w:r>
      <w:proofErr w:type="spellEnd"/>
      <w:r w:rsidRPr="00AA6456">
        <w:rPr>
          <w:rFonts w:asciiTheme="minorHAnsi" w:hAnsiTheme="minorHAnsi"/>
        </w:rPr>
        <w:t xml:space="preserve"> no later than 2019;</w:t>
      </w:r>
    </w:p>
    <w:p w:rsidR="00AA6456" w:rsidRPr="009228EA" w:rsidRDefault="00AA6456" w:rsidP="00AA6456">
      <w:pPr>
        <w:pStyle w:val="ListParagraph"/>
        <w:numPr>
          <w:ilvl w:val="0"/>
          <w:numId w:val="13"/>
        </w:numPr>
        <w:ind w:left="993"/>
        <w:rPr>
          <w:rFonts w:asciiTheme="minorHAnsi" w:hAnsiTheme="minorHAnsi" w:cstheme="minorHAnsi"/>
        </w:rPr>
      </w:pPr>
      <w:r w:rsidRPr="00AA6456">
        <w:rPr>
          <w:rFonts w:asciiTheme="minorHAnsi" w:hAnsiTheme="minorHAnsi"/>
        </w:rPr>
        <w:t xml:space="preserve">Government and local authorities should implement measures to increase certainty on the delivery of growth enabling infrastructure specifically transport plans. These plans should provide a firm basis for long-term growth and investment, and include plans for significantly upgrading public transport, </w:t>
      </w:r>
      <w:r w:rsidRPr="009228EA">
        <w:rPr>
          <w:rFonts w:asciiTheme="minorHAnsi" w:hAnsiTheme="minorHAnsi"/>
        </w:rPr>
        <w:t>integrating transport hubs and providing safe cycling infrastructure.</w:t>
      </w:r>
    </w:p>
    <w:p w:rsidR="00AA6456" w:rsidRPr="009228EA" w:rsidRDefault="00AA6456" w:rsidP="00AA6456">
      <w:pPr>
        <w:pStyle w:val="ListParagraph"/>
        <w:rPr>
          <w:rFonts w:asciiTheme="minorHAnsi" w:hAnsiTheme="minorHAnsi" w:cstheme="minorHAnsi"/>
        </w:rPr>
      </w:pPr>
    </w:p>
    <w:p w:rsidR="00AA6456" w:rsidRDefault="00AA6456" w:rsidP="00AA6456">
      <w:pPr>
        <w:pStyle w:val="ListParagraph"/>
        <w:numPr>
          <w:ilvl w:val="1"/>
          <w:numId w:val="14"/>
        </w:numPr>
        <w:ind w:left="709" w:hanging="709"/>
        <w:rPr>
          <w:rFonts w:asciiTheme="minorHAnsi" w:hAnsiTheme="minorHAnsi" w:cstheme="minorHAnsi"/>
        </w:rPr>
      </w:pPr>
      <w:r w:rsidRPr="009228EA">
        <w:rPr>
          <w:rFonts w:asciiTheme="minorHAnsi" w:hAnsiTheme="minorHAnsi" w:cstheme="minorHAnsi"/>
        </w:rPr>
        <w:t xml:space="preserve">Referred to are the </w:t>
      </w:r>
      <w:proofErr w:type="spellStart"/>
      <w:r w:rsidRPr="009228EA">
        <w:rPr>
          <w:rFonts w:asciiTheme="minorHAnsi" w:hAnsiTheme="minorHAnsi" w:cstheme="minorHAnsi"/>
        </w:rPr>
        <w:t>Cowley</w:t>
      </w:r>
      <w:proofErr w:type="spellEnd"/>
      <w:r w:rsidRPr="009228EA">
        <w:rPr>
          <w:rFonts w:asciiTheme="minorHAnsi" w:hAnsiTheme="minorHAnsi" w:cstheme="minorHAnsi"/>
        </w:rPr>
        <w:t xml:space="preserve"> branch line and improvements to transport hubs and cycling infrastructure. All of which are identified in </w:t>
      </w:r>
      <w:proofErr w:type="spellStart"/>
      <w:r w:rsidRPr="009228EA">
        <w:rPr>
          <w:rFonts w:asciiTheme="minorHAnsi" w:hAnsiTheme="minorHAnsi" w:cstheme="minorHAnsi"/>
        </w:rPr>
        <w:t>OxIS</w:t>
      </w:r>
      <w:proofErr w:type="spellEnd"/>
      <w:r w:rsidRPr="009228EA">
        <w:rPr>
          <w:rFonts w:asciiTheme="minorHAnsi" w:hAnsiTheme="minorHAnsi" w:cstheme="minorHAnsi"/>
        </w:rPr>
        <w:t>. Therefore if funding were received through the NIC, then this would support the delivery of these projects</w:t>
      </w:r>
      <w:r w:rsidR="005E70BE" w:rsidRPr="009228EA">
        <w:rPr>
          <w:rFonts w:asciiTheme="minorHAnsi" w:hAnsiTheme="minorHAnsi" w:cstheme="minorHAnsi"/>
        </w:rPr>
        <w:t>.</w:t>
      </w:r>
    </w:p>
    <w:p w:rsidR="005E70BE" w:rsidRPr="009228EA" w:rsidRDefault="005E70BE" w:rsidP="005E70BE">
      <w:pPr>
        <w:rPr>
          <w:rFonts w:asciiTheme="minorHAnsi" w:hAnsiTheme="minorHAnsi"/>
          <w:i/>
        </w:rPr>
      </w:pPr>
    </w:p>
    <w:p w:rsidR="005E70BE" w:rsidRPr="009228EA" w:rsidRDefault="005E70BE" w:rsidP="005E70BE">
      <w:pPr>
        <w:rPr>
          <w:rFonts w:asciiTheme="minorHAnsi" w:hAnsiTheme="minorHAnsi"/>
          <w:i/>
        </w:rPr>
      </w:pPr>
      <w:r w:rsidRPr="009228EA">
        <w:rPr>
          <w:rFonts w:asciiTheme="minorHAnsi" w:hAnsiTheme="minorHAnsi"/>
          <w:i/>
        </w:rPr>
        <w:t>Business Rates</w:t>
      </w:r>
    </w:p>
    <w:p w:rsidR="005E70BE" w:rsidRPr="009228EA" w:rsidRDefault="005562D3" w:rsidP="005E70BE">
      <w:pPr>
        <w:pStyle w:val="ListParagraph"/>
        <w:numPr>
          <w:ilvl w:val="1"/>
          <w:numId w:val="14"/>
        </w:numPr>
        <w:ind w:left="709" w:hanging="709"/>
        <w:rPr>
          <w:rFonts w:asciiTheme="minorHAnsi" w:hAnsiTheme="minorHAnsi" w:cstheme="minorHAnsi"/>
        </w:rPr>
      </w:pPr>
      <w:r w:rsidRPr="009228EA">
        <w:rPr>
          <w:rFonts w:asciiTheme="minorHAnsi" w:hAnsiTheme="minorHAnsi"/>
        </w:rPr>
        <w:t>Local authorities can retain a proportion of business rates revenue as well as growth on the revenue that is generated. The scheme could be used to meet the cost of infrastructure as and when the revenue is received, or it could be used to raise finance to meet upfront infrastructure costs</w:t>
      </w:r>
      <w:r w:rsidR="00137433">
        <w:rPr>
          <w:rFonts w:asciiTheme="minorHAnsi" w:hAnsiTheme="minorHAnsi"/>
        </w:rPr>
        <w:t xml:space="preserve">. </w:t>
      </w:r>
      <w:r w:rsidR="00137433" w:rsidRPr="009228EA">
        <w:rPr>
          <w:rFonts w:asciiTheme="minorHAnsi" w:hAnsiTheme="minorHAnsi"/>
        </w:rPr>
        <w:t xml:space="preserve">In Oxfordshire, proposals for pooling </w:t>
      </w:r>
      <w:r w:rsidR="00137433">
        <w:rPr>
          <w:rFonts w:asciiTheme="minorHAnsi" w:hAnsiTheme="minorHAnsi"/>
        </w:rPr>
        <w:t>Business Rates</w:t>
      </w:r>
      <w:r w:rsidR="00137433" w:rsidRPr="009228EA">
        <w:rPr>
          <w:rFonts w:asciiTheme="minorHAnsi" w:hAnsiTheme="minorHAnsi"/>
        </w:rPr>
        <w:t xml:space="preserve"> income to deliver infrastructure is being considered.</w:t>
      </w:r>
    </w:p>
    <w:p w:rsidR="00487381" w:rsidRPr="00334990" w:rsidRDefault="00487381" w:rsidP="00487381">
      <w:pPr>
        <w:pStyle w:val="ListParagraph"/>
        <w:ind w:left="709"/>
        <w:rPr>
          <w:rFonts w:asciiTheme="minorHAnsi" w:hAnsiTheme="minorHAnsi"/>
        </w:rPr>
      </w:pPr>
    </w:p>
    <w:p w:rsidR="00C62B0A" w:rsidRPr="004E3699" w:rsidRDefault="00487381" w:rsidP="004E3699">
      <w:pPr>
        <w:rPr>
          <w:rFonts w:asciiTheme="minorHAnsi" w:hAnsiTheme="minorHAnsi"/>
          <w:b/>
        </w:rPr>
      </w:pPr>
      <w:r w:rsidRPr="004E3699">
        <w:rPr>
          <w:rFonts w:asciiTheme="minorHAnsi" w:hAnsiTheme="minorHAnsi"/>
          <w:b/>
        </w:rPr>
        <w:t>Conclusion</w:t>
      </w:r>
    </w:p>
    <w:p w:rsidR="00137433" w:rsidRDefault="00137433" w:rsidP="00C62B0A">
      <w:pPr>
        <w:pStyle w:val="ListParagraph"/>
        <w:numPr>
          <w:ilvl w:val="1"/>
          <w:numId w:val="1"/>
        </w:numPr>
        <w:ind w:left="709" w:hanging="709"/>
        <w:rPr>
          <w:rFonts w:asciiTheme="minorHAnsi" w:hAnsiTheme="minorHAnsi"/>
        </w:rPr>
      </w:pPr>
      <w:r>
        <w:rPr>
          <w:rFonts w:asciiTheme="minorHAnsi" w:hAnsiTheme="minorHAnsi"/>
        </w:rPr>
        <w:t>This report summarises</w:t>
      </w:r>
      <w:r w:rsidR="00C62B0A" w:rsidRPr="00137433">
        <w:rPr>
          <w:rFonts w:asciiTheme="minorHAnsi" w:hAnsiTheme="minorHAnsi"/>
        </w:rPr>
        <w:t xml:space="preserve"> that a funding gap exists between the total estimated cost of infrastructure necessary to support growth over the plan period and </w:t>
      </w:r>
      <w:r>
        <w:rPr>
          <w:rFonts w:asciiTheme="minorHAnsi" w:hAnsiTheme="minorHAnsi"/>
        </w:rPr>
        <w:t xml:space="preserve">known funding (Tables 1 and 2). It also estimates the contribution that CIL income can make to </w:t>
      </w:r>
      <w:proofErr w:type="gramStart"/>
      <w:r>
        <w:rPr>
          <w:rFonts w:asciiTheme="minorHAnsi" w:hAnsiTheme="minorHAnsi"/>
        </w:rPr>
        <w:t>narrowing</w:t>
      </w:r>
      <w:proofErr w:type="gramEnd"/>
      <w:r>
        <w:rPr>
          <w:rFonts w:asciiTheme="minorHAnsi" w:hAnsiTheme="minorHAnsi"/>
        </w:rPr>
        <w:t xml:space="preserve"> that funding gap</w:t>
      </w:r>
      <w:r w:rsidR="00C62B0A" w:rsidRPr="00137433">
        <w:rPr>
          <w:rFonts w:asciiTheme="minorHAnsi" w:hAnsiTheme="minorHAnsi"/>
        </w:rPr>
        <w:t>.</w:t>
      </w:r>
    </w:p>
    <w:p w:rsidR="00137433" w:rsidRDefault="00137433" w:rsidP="00137433">
      <w:pPr>
        <w:pStyle w:val="ListParagraph"/>
        <w:ind w:left="709"/>
        <w:rPr>
          <w:rFonts w:asciiTheme="minorHAnsi" w:hAnsiTheme="minorHAnsi"/>
        </w:rPr>
      </w:pPr>
    </w:p>
    <w:p w:rsidR="00F052C0" w:rsidRPr="00137433" w:rsidRDefault="00137433" w:rsidP="00A72BC7">
      <w:pPr>
        <w:pStyle w:val="ListParagraph"/>
        <w:numPr>
          <w:ilvl w:val="1"/>
          <w:numId w:val="1"/>
        </w:numPr>
        <w:ind w:left="709" w:hanging="709"/>
        <w:rPr>
          <w:rFonts w:asciiTheme="minorHAnsi" w:hAnsiTheme="minorHAnsi"/>
        </w:rPr>
      </w:pPr>
      <w:r w:rsidRPr="00137433">
        <w:rPr>
          <w:rFonts w:asciiTheme="minorHAnsi" w:hAnsiTheme="minorHAnsi"/>
        </w:rPr>
        <w:lastRenderedPageBreak/>
        <w:t xml:space="preserve">As explained in the introduction, CIL funding is never expected to be able to fund all infrastructure projects </w:t>
      </w:r>
      <w:r w:rsidR="00C62B0A" w:rsidRPr="00137433">
        <w:rPr>
          <w:rFonts w:asciiTheme="minorHAnsi" w:hAnsiTheme="minorHAnsi"/>
        </w:rPr>
        <w:t>but will make a contribution towards the costs of meeting these</w:t>
      </w:r>
      <w:r w:rsidRPr="00137433">
        <w:rPr>
          <w:rFonts w:asciiTheme="minorHAnsi" w:hAnsiTheme="minorHAnsi"/>
        </w:rPr>
        <w:t xml:space="preserve"> alongside other funding sources.</w:t>
      </w:r>
    </w:p>
    <w:p w:rsidR="00062A2E" w:rsidRDefault="00062A2E">
      <w:pPr>
        <w:rPr>
          <w:rFonts w:asciiTheme="minorHAnsi" w:hAnsiTheme="minorHAnsi"/>
        </w:rPr>
      </w:pPr>
      <w:r>
        <w:rPr>
          <w:rFonts w:asciiTheme="minorHAnsi" w:hAnsiTheme="minorHAnsi"/>
        </w:rPr>
        <w:br w:type="page"/>
      </w:r>
    </w:p>
    <w:p w:rsidR="003D785E" w:rsidRDefault="003D785E" w:rsidP="00062A2E">
      <w:pPr>
        <w:pStyle w:val="ListParagraph"/>
        <w:ind w:left="0"/>
        <w:rPr>
          <w:rFonts w:asciiTheme="minorHAnsi" w:hAnsiTheme="minorHAnsi"/>
          <w:b/>
          <w:sz w:val="28"/>
        </w:rPr>
      </w:pPr>
      <w:r>
        <w:rPr>
          <w:rFonts w:asciiTheme="minorHAnsi" w:hAnsiTheme="minorHAnsi"/>
          <w:b/>
          <w:sz w:val="28"/>
        </w:rPr>
        <w:lastRenderedPageBreak/>
        <w:t>Appendix 1</w:t>
      </w:r>
    </w:p>
    <w:p w:rsidR="003D785E" w:rsidRDefault="003D785E" w:rsidP="00062A2E">
      <w:pPr>
        <w:pStyle w:val="ListParagraph"/>
        <w:ind w:left="0"/>
        <w:rPr>
          <w:rFonts w:asciiTheme="minorHAnsi" w:hAnsiTheme="minorHAnsi"/>
          <w:b/>
          <w:sz w:val="28"/>
        </w:rPr>
      </w:pPr>
    </w:p>
    <w:p w:rsidR="00F052C0" w:rsidRPr="003D785E" w:rsidRDefault="003D785E" w:rsidP="00062A2E">
      <w:pPr>
        <w:pStyle w:val="ListParagraph"/>
        <w:ind w:left="0"/>
        <w:rPr>
          <w:rFonts w:asciiTheme="minorHAnsi" w:hAnsiTheme="minorHAnsi"/>
          <w:b/>
          <w:sz w:val="28"/>
        </w:rPr>
      </w:pPr>
      <w:r>
        <w:rPr>
          <w:rFonts w:asciiTheme="minorHAnsi" w:hAnsiTheme="minorHAnsi"/>
          <w:b/>
          <w:sz w:val="28"/>
        </w:rPr>
        <w:t>Infrastructure identified for the</w:t>
      </w:r>
      <w:r w:rsidR="00062A2E" w:rsidRPr="003D785E">
        <w:rPr>
          <w:rFonts w:asciiTheme="minorHAnsi" w:hAnsiTheme="minorHAnsi"/>
          <w:b/>
          <w:sz w:val="28"/>
        </w:rPr>
        <w:t xml:space="preserve"> Oxford Corridor</w:t>
      </w:r>
      <w:r w:rsidRPr="003D785E">
        <w:rPr>
          <w:rFonts w:asciiTheme="minorHAnsi" w:hAnsiTheme="minorHAnsi"/>
          <w:sz w:val="28"/>
          <w:szCs w:val="28"/>
        </w:rPr>
        <w:t xml:space="preserve"> </w:t>
      </w:r>
      <w:r w:rsidRPr="00003EA9">
        <w:rPr>
          <w:rFonts w:asciiTheme="minorHAnsi" w:hAnsiTheme="minorHAnsi"/>
          <w:i/>
          <w:sz w:val="22"/>
          <w:szCs w:val="28"/>
        </w:rPr>
        <w:t>(</w:t>
      </w:r>
      <w:r w:rsidR="00003EA9" w:rsidRPr="00003EA9">
        <w:rPr>
          <w:rFonts w:asciiTheme="minorHAnsi" w:hAnsiTheme="minorHAnsi"/>
          <w:i/>
          <w:sz w:val="22"/>
          <w:szCs w:val="28"/>
        </w:rPr>
        <w:t xml:space="preserve">Table 1.37, </w:t>
      </w:r>
      <w:proofErr w:type="spellStart"/>
      <w:r w:rsidRPr="00003EA9">
        <w:rPr>
          <w:rFonts w:asciiTheme="minorHAnsi" w:hAnsiTheme="minorHAnsi"/>
          <w:i/>
          <w:sz w:val="22"/>
          <w:szCs w:val="28"/>
        </w:rPr>
        <w:t>OxIS</w:t>
      </w:r>
      <w:proofErr w:type="spellEnd"/>
      <w:r w:rsidRPr="00003EA9">
        <w:rPr>
          <w:rFonts w:asciiTheme="minorHAnsi" w:hAnsiTheme="minorHAnsi"/>
          <w:i/>
          <w:sz w:val="22"/>
          <w:szCs w:val="28"/>
        </w:rPr>
        <w:t xml:space="preserve"> Stage 2 Study, 2017)</w:t>
      </w:r>
    </w:p>
    <w:p w:rsidR="00062A2E" w:rsidRPr="003D785E" w:rsidRDefault="00062A2E" w:rsidP="00062A2E">
      <w:pPr>
        <w:pStyle w:val="ListParagraph"/>
        <w:ind w:left="0"/>
        <w:rPr>
          <w:rFonts w:asciiTheme="minorHAnsi" w:hAnsiTheme="minorHAnsi"/>
          <w:b/>
        </w:rPr>
      </w:pPr>
    </w:p>
    <w:p w:rsidR="00062A2E" w:rsidRPr="003D785E" w:rsidRDefault="00062A2E" w:rsidP="00062A2E">
      <w:pPr>
        <w:pStyle w:val="ListParagraph"/>
        <w:ind w:left="0"/>
        <w:rPr>
          <w:rFonts w:asciiTheme="minorHAnsi" w:hAnsiTheme="minorHAnsi"/>
          <w:b/>
        </w:rPr>
      </w:pPr>
      <w:r w:rsidRPr="003D785E">
        <w:rPr>
          <w:rFonts w:asciiTheme="minorHAnsi" w:hAnsiTheme="minorHAnsi"/>
          <w:b/>
        </w:rPr>
        <w:t>Strategic Rapid Transit / Bus</w:t>
      </w:r>
    </w:p>
    <w:p w:rsidR="00062A2E" w:rsidRPr="003D785E" w:rsidRDefault="00062A2E" w:rsidP="003D785E">
      <w:pPr>
        <w:pStyle w:val="ListParagraph"/>
        <w:numPr>
          <w:ilvl w:val="0"/>
          <w:numId w:val="17"/>
        </w:numPr>
        <w:rPr>
          <w:rFonts w:asciiTheme="minorHAnsi" w:hAnsiTheme="minorHAnsi"/>
        </w:rPr>
      </w:pPr>
      <w:r w:rsidRPr="003D785E">
        <w:rPr>
          <w:rFonts w:asciiTheme="minorHAnsi" w:hAnsiTheme="minorHAnsi"/>
        </w:rPr>
        <w:t>Bus stand extension on Becket Street</w:t>
      </w:r>
    </w:p>
    <w:p w:rsidR="00062A2E" w:rsidRPr="003D785E" w:rsidRDefault="00062A2E" w:rsidP="003D785E">
      <w:pPr>
        <w:pStyle w:val="ListParagraph"/>
        <w:numPr>
          <w:ilvl w:val="0"/>
          <w:numId w:val="17"/>
        </w:numPr>
        <w:rPr>
          <w:rFonts w:asciiTheme="minorHAnsi" w:hAnsiTheme="minorHAnsi"/>
        </w:rPr>
      </w:pPr>
      <w:r w:rsidRPr="003D785E">
        <w:rPr>
          <w:rFonts w:asciiTheme="minorHAnsi" w:hAnsiTheme="minorHAnsi"/>
        </w:rPr>
        <w:t>City centre traffic access restrictions</w:t>
      </w:r>
    </w:p>
    <w:p w:rsidR="00062A2E" w:rsidRPr="003D785E" w:rsidRDefault="00062A2E" w:rsidP="003D785E">
      <w:pPr>
        <w:pStyle w:val="ListParagraph"/>
        <w:numPr>
          <w:ilvl w:val="0"/>
          <w:numId w:val="17"/>
        </w:numPr>
        <w:rPr>
          <w:rFonts w:asciiTheme="minorHAnsi" w:hAnsiTheme="minorHAnsi"/>
        </w:rPr>
      </w:pPr>
      <w:r w:rsidRPr="003D785E">
        <w:rPr>
          <w:rFonts w:asciiTheme="minorHAnsi" w:hAnsiTheme="minorHAnsi"/>
        </w:rPr>
        <w:t>Gloucester Green bus terminal phase 1</w:t>
      </w:r>
    </w:p>
    <w:p w:rsidR="00062A2E" w:rsidRPr="003D785E" w:rsidRDefault="00062A2E" w:rsidP="003D785E">
      <w:pPr>
        <w:pStyle w:val="ListParagraph"/>
        <w:numPr>
          <w:ilvl w:val="0"/>
          <w:numId w:val="17"/>
        </w:numPr>
        <w:rPr>
          <w:rFonts w:asciiTheme="minorHAnsi" w:hAnsiTheme="minorHAnsi"/>
        </w:rPr>
      </w:pPr>
      <w:r w:rsidRPr="003D785E">
        <w:rPr>
          <w:rFonts w:asciiTheme="minorHAnsi" w:hAnsiTheme="minorHAnsi"/>
        </w:rPr>
        <w:t>Gloucester Green bus terminal phase 2, including cycle hub</w:t>
      </w:r>
    </w:p>
    <w:p w:rsidR="00062A2E" w:rsidRPr="003D785E" w:rsidRDefault="00062A2E" w:rsidP="003D785E">
      <w:pPr>
        <w:pStyle w:val="ListParagraph"/>
        <w:numPr>
          <w:ilvl w:val="0"/>
          <w:numId w:val="17"/>
        </w:numPr>
        <w:rPr>
          <w:rFonts w:asciiTheme="minorHAnsi" w:hAnsiTheme="minorHAnsi"/>
        </w:rPr>
      </w:pPr>
      <w:proofErr w:type="spellStart"/>
      <w:r w:rsidRPr="003D785E">
        <w:rPr>
          <w:rFonts w:asciiTheme="minorHAnsi" w:hAnsiTheme="minorHAnsi"/>
        </w:rPr>
        <w:t>Peartree</w:t>
      </w:r>
      <w:proofErr w:type="spellEnd"/>
      <w:r w:rsidRPr="003D785E">
        <w:rPr>
          <w:rFonts w:asciiTheme="minorHAnsi" w:hAnsiTheme="minorHAnsi"/>
        </w:rPr>
        <w:t xml:space="preserve"> Park &amp; Ride expansion</w:t>
      </w:r>
    </w:p>
    <w:p w:rsidR="00062A2E" w:rsidRPr="003D785E" w:rsidRDefault="00062A2E" w:rsidP="003D785E">
      <w:pPr>
        <w:pStyle w:val="ListParagraph"/>
        <w:numPr>
          <w:ilvl w:val="0"/>
          <w:numId w:val="17"/>
        </w:numPr>
        <w:rPr>
          <w:rFonts w:asciiTheme="minorHAnsi" w:hAnsiTheme="minorHAnsi"/>
        </w:rPr>
      </w:pPr>
      <w:r w:rsidRPr="003D785E">
        <w:rPr>
          <w:rFonts w:asciiTheme="minorHAnsi" w:hAnsiTheme="minorHAnsi"/>
        </w:rPr>
        <w:t>Redbridge Park &amp; Ride expansion</w:t>
      </w:r>
    </w:p>
    <w:p w:rsidR="00062A2E" w:rsidRPr="003D785E" w:rsidRDefault="00062A2E" w:rsidP="003D785E">
      <w:pPr>
        <w:pStyle w:val="ListParagraph"/>
        <w:numPr>
          <w:ilvl w:val="0"/>
          <w:numId w:val="17"/>
        </w:numPr>
        <w:rPr>
          <w:rFonts w:asciiTheme="minorHAnsi" w:hAnsiTheme="minorHAnsi"/>
        </w:rPr>
      </w:pPr>
      <w:proofErr w:type="spellStart"/>
      <w:r w:rsidRPr="003D785E">
        <w:rPr>
          <w:rFonts w:asciiTheme="minorHAnsi" w:hAnsiTheme="minorHAnsi"/>
        </w:rPr>
        <w:t>Seacourt</w:t>
      </w:r>
      <w:proofErr w:type="spellEnd"/>
      <w:r w:rsidRPr="003D785E">
        <w:rPr>
          <w:rFonts w:asciiTheme="minorHAnsi" w:hAnsiTheme="minorHAnsi"/>
        </w:rPr>
        <w:t xml:space="preserve"> Park &amp; Ride expansion</w:t>
      </w:r>
    </w:p>
    <w:p w:rsidR="00062A2E" w:rsidRPr="003D785E" w:rsidRDefault="00062A2E" w:rsidP="003D785E">
      <w:pPr>
        <w:pStyle w:val="ListParagraph"/>
        <w:numPr>
          <w:ilvl w:val="0"/>
          <w:numId w:val="17"/>
        </w:numPr>
        <w:rPr>
          <w:rFonts w:asciiTheme="minorHAnsi" w:hAnsiTheme="minorHAnsi"/>
        </w:rPr>
      </w:pPr>
      <w:r w:rsidRPr="003D785E">
        <w:rPr>
          <w:rFonts w:asciiTheme="minorHAnsi" w:hAnsiTheme="minorHAnsi"/>
        </w:rPr>
        <w:t>Speedwell Street bus terminal phase 2 (Telephone Exchange)</w:t>
      </w:r>
    </w:p>
    <w:p w:rsidR="00062A2E" w:rsidRPr="003D785E" w:rsidRDefault="00062A2E" w:rsidP="00062A2E">
      <w:pPr>
        <w:pStyle w:val="ListParagraph"/>
        <w:ind w:left="0"/>
        <w:rPr>
          <w:rFonts w:asciiTheme="minorHAnsi" w:hAnsiTheme="minorHAnsi"/>
        </w:rPr>
      </w:pPr>
    </w:p>
    <w:p w:rsidR="00062A2E" w:rsidRPr="003D785E" w:rsidRDefault="00062A2E" w:rsidP="00062A2E">
      <w:pPr>
        <w:pStyle w:val="ListParagraph"/>
        <w:ind w:left="0"/>
        <w:rPr>
          <w:rFonts w:asciiTheme="minorHAnsi" w:hAnsiTheme="minorHAnsi"/>
          <w:b/>
        </w:rPr>
      </w:pPr>
      <w:r w:rsidRPr="003D785E">
        <w:rPr>
          <w:rFonts w:asciiTheme="minorHAnsi" w:hAnsiTheme="minorHAnsi"/>
          <w:b/>
        </w:rPr>
        <w:t>Road Network</w:t>
      </w:r>
    </w:p>
    <w:p w:rsidR="00062A2E" w:rsidRPr="003D785E" w:rsidRDefault="00062A2E" w:rsidP="003D785E">
      <w:pPr>
        <w:pStyle w:val="ListParagraph"/>
        <w:numPr>
          <w:ilvl w:val="0"/>
          <w:numId w:val="18"/>
        </w:numPr>
        <w:rPr>
          <w:rFonts w:asciiTheme="minorHAnsi" w:hAnsiTheme="minorHAnsi"/>
        </w:rPr>
      </w:pPr>
      <w:proofErr w:type="spellStart"/>
      <w:r w:rsidRPr="003D785E">
        <w:rPr>
          <w:rFonts w:asciiTheme="minorHAnsi" w:hAnsiTheme="minorHAnsi"/>
        </w:rPr>
        <w:t>Botley</w:t>
      </w:r>
      <w:proofErr w:type="spellEnd"/>
      <w:r w:rsidRPr="003D785E">
        <w:rPr>
          <w:rFonts w:asciiTheme="minorHAnsi" w:hAnsiTheme="minorHAnsi"/>
        </w:rPr>
        <w:t xml:space="preserve"> interchange and approaches</w:t>
      </w:r>
    </w:p>
    <w:p w:rsidR="00062A2E" w:rsidRPr="003D785E" w:rsidRDefault="00062A2E" w:rsidP="003D785E">
      <w:pPr>
        <w:pStyle w:val="ListParagraph"/>
        <w:numPr>
          <w:ilvl w:val="0"/>
          <w:numId w:val="18"/>
        </w:numPr>
        <w:rPr>
          <w:rFonts w:asciiTheme="minorHAnsi" w:hAnsiTheme="minorHAnsi"/>
        </w:rPr>
      </w:pPr>
      <w:proofErr w:type="spellStart"/>
      <w:r w:rsidRPr="003D785E">
        <w:rPr>
          <w:rFonts w:asciiTheme="minorHAnsi" w:hAnsiTheme="minorHAnsi"/>
        </w:rPr>
        <w:t>Cowley</w:t>
      </w:r>
      <w:proofErr w:type="spellEnd"/>
      <w:r w:rsidRPr="003D785E">
        <w:rPr>
          <w:rFonts w:asciiTheme="minorHAnsi" w:hAnsiTheme="minorHAnsi"/>
        </w:rPr>
        <w:t xml:space="preserve"> Interchange 18 </w:t>
      </w:r>
      <w:proofErr w:type="spellStart"/>
      <w:r w:rsidRPr="003D785E">
        <w:rPr>
          <w:rFonts w:asciiTheme="minorHAnsi" w:hAnsiTheme="minorHAnsi"/>
        </w:rPr>
        <w:t>Cowley</w:t>
      </w:r>
      <w:proofErr w:type="spellEnd"/>
      <w:r w:rsidRPr="003D785E">
        <w:rPr>
          <w:rFonts w:asciiTheme="minorHAnsi" w:hAnsiTheme="minorHAnsi"/>
        </w:rPr>
        <w:t xml:space="preserve"> Road</w:t>
      </w:r>
    </w:p>
    <w:p w:rsidR="00062A2E" w:rsidRPr="003D785E" w:rsidRDefault="00062A2E" w:rsidP="003D785E">
      <w:pPr>
        <w:pStyle w:val="ListParagraph"/>
        <w:numPr>
          <w:ilvl w:val="0"/>
          <w:numId w:val="18"/>
        </w:numPr>
        <w:rPr>
          <w:rFonts w:asciiTheme="minorHAnsi" w:hAnsiTheme="minorHAnsi"/>
        </w:rPr>
      </w:pPr>
      <w:proofErr w:type="spellStart"/>
      <w:r w:rsidRPr="003D785E">
        <w:rPr>
          <w:rFonts w:asciiTheme="minorHAnsi" w:hAnsiTheme="minorHAnsi"/>
        </w:rPr>
        <w:t>Headington</w:t>
      </w:r>
      <w:proofErr w:type="spellEnd"/>
      <w:r w:rsidRPr="003D785E">
        <w:rPr>
          <w:rFonts w:asciiTheme="minorHAnsi" w:hAnsiTheme="minorHAnsi"/>
        </w:rPr>
        <w:t xml:space="preserve"> roundabout - phase 2 (including Collingwood Crossing)</w:t>
      </w:r>
    </w:p>
    <w:p w:rsidR="00062A2E" w:rsidRPr="003D785E" w:rsidRDefault="00062A2E" w:rsidP="003D785E">
      <w:pPr>
        <w:pStyle w:val="ListParagraph"/>
        <w:numPr>
          <w:ilvl w:val="0"/>
          <w:numId w:val="18"/>
        </w:numPr>
        <w:rPr>
          <w:rFonts w:asciiTheme="minorHAnsi" w:hAnsiTheme="minorHAnsi"/>
        </w:rPr>
      </w:pPr>
      <w:proofErr w:type="spellStart"/>
      <w:r w:rsidRPr="003D785E">
        <w:rPr>
          <w:rFonts w:asciiTheme="minorHAnsi" w:hAnsiTheme="minorHAnsi"/>
        </w:rPr>
        <w:t>Heyford</w:t>
      </w:r>
      <w:proofErr w:type="spellEnd"/>
      <w:r w:rsidRPr="003D785E">
        <w:rPr>
          <w:rFonts w:asciiTheme="minorHAnsi" w:hAnsiTheme="minorHAnsi"/>
        </w:rPr>
        <w:t xml:space="preserve"> Hill roundabout</w:t>
      </w:r>
    </w:p>
    <w:p w:rsidR="00062A2E" w:rsidRPr="003D785E" w:rsidRDefault="00062A2E" w:rsidP="003D785E">
      <w:pPr>
        <w:pStyle w:val="ListParagraph"/>
        <w:numPr>
          <w:ilvl w:val="0"/>
          <w:numId w:val="18"/>
        </w:numPr>
        <w:rPr>
          <w:rFonts w:asciiTheme="minorHAnsi" w:hAnsiTheme="minorHAnsi"/>
        </w:rPr>
      </w:pPr>
      <w:proofErr w:type="spellStart"/>
      <w:r w:rsidRPr="003D785E">
        <w:rPr>
          <w:rFonts w:asciiTheme="minorHAnsi" w:hAnsiTheme="minorHAnsi"/>
        </w:rPr>
        <w:t>Hinksey</w:t>
      </w:r>
      <w:proofErr w:type="spellEnd"/>
      <w:r w:rsidRPr="003D785E">
        <w:rPr>
          <w:rFonts w:asciiTheme="minorHAnsi" w:hAnsiTheme="minorHAnsi"/>
        </w:rPr>
        <w:t xml:space="preserve"> interchange</w:t>
      </w:r>
    </w:p>
    <w:p w:rsidR="00062A2E" w:rsidRPr="003D785E" w:rsidRDefault="00062A2E" w:rsidP="003D785E">
      <w:pPr>
        <w:pStyle w:val="ListParagraph"/>
        <w:numPr>
          <w:ilvl w:val="0"/>
          <w:numId w:val="18"/>
        </w:numPr>
        <w:rPr>
          <w:rFonts w:asciiTheme="minorHAnsi" w:hAnsiTheme="minorHAnsi"/>
        </w:rPr>
      </w:pPr>
      <w:proofErr w:type="spellStart"/>
      <w:r w:rsidRPr="003D785E">
        <w:rPr>
          <w:rFonts w:asciiTheme="minorHAnsi" w:hAnsiTheme="minorHAnsi"/>
        </w:rPr>
        <w:t>Horspath</w:t>
      </w:r>
      <w:proofErr w:type="spellEnd"/>
      <w:r w:rsidRPr="003D785E">
        <w:rPr>
          <w:rFonts w:asciiTheme="minorHAnsi" w:hAnsiTheme="minorHAnsi"/>
        </w:rPr>
        <w:t xml:space="preserve"> Road Junction Improvements</w:t>
      </w:r>
    </w:p>
    <w:p w:rsidR="00062A2E" w:rsidRPr="003D785E" w:rsidRDefault="00062A2E" w:rsidP="003D785E">
      <w:pPr>
        <w:pStyle w:val="ListParagraph"/>
        <w:numPr>
          <w:ilvl w:val="0"/>
          <w:numId w:val="18"/>
        </w:numPr>
        <w:rPr>
          <w:rFonts w:asciiTheme="minorHAnsi" w:hAnsiTheme="minorHAnsi"/>
        </w:rPr>
      </w:pPr>
      <w:r w:rsidRPr="003D785E">
        <w:rPr>
          <w:rFonts w:asciiTheme="minorHAnsi" w:hAnsiTheme="minorHAnsi"/>
        </w:rPr>
        <w:t>Kidlington roundabout</w:t>
      </w:r>
    </w:p>
    <w:p w:rsidR="00062A2E" w:rsidRPr="003D785E" w:rsidRDefault="00062A2E" w:rsidP="003D785E">
      <w:pPr>
        <w:pStyle w:val="ListParagraph"/>
        <w:numPr>
          <w:ilvl w:val="0"/>
          <w:numId w:val="18"/>
        </w:numPr>
        <w:rPr>
          <w:rFonts w:asciiTheme="minorHAnsi" w:hAnsiTheme="minorHAnsi"/>
        </w:rPr>
      </w:pPr>
      <w:r w:rsidRPr="003D785E">
        <w:rPr>
          <w:rFonts w:asciiTheme="minorHAnsi" w:hAnsiTheme="minorHAnsi"/>
        </w:rPr>
        <w:t>Littlemore roundabout</w:t>
      </w:r>
    </w:p>
    <w:p w:rsidR="00062A2E" w:rsidRPr="003D785E" w:rsidRDefault="00062A2E" w:rsidP="003D785E">
      <w:pPr>
        <w:pStyle w:val="ListParagraph"/>
        <w:numPr>
          <w:ilvl w:val="0"/>
          <w:numId w:val="18"/>
        </w:numPr>
        <w:rPr>
          <w:rFonts w:asciiTheme="minorHAnsi" w:hAnsiTheme="minorHAnsi"/>
        </w:rPr>
      </w:pPr>
      <w:r w:rsidRPr="003D785E">
        <w:rPr>
          <w:rFonts w:asciiTheme="minorHAnsi" w:hAnsiTheme="minorHAnsi"/>
        </w:rPr>
        <w:t>Marsh Lane interchange</w:t>
      </w:r>
    </w:p>
    <w:p w:rsidR="00062A2E" w:rsidRPr="003D785E" w:rsidRDefault="00062A2E" w:rsidP="003D785E">
      <w:pPr>
        <w:pStyle w:val="ListParagraph"/>
        <w:numPr>
          <w:ilvl w:val="0"/>
          <w:numId w:val="18"/>
        </w:numPr>
        <w:rPr>
          <w:rFonts w:asciiTheme="minorHAnsi" w:hAnsiTheme="minorHAnsi"/>
        </w:rPr>
      </w:pPr>
      <w:r w:rsidRPr="003D785E">
        <w:rPr>
          <w:rFonts w:asciiTheme="minorHAnsi" w:hAnsiTheme="minorHAnsi"/>
        </w:rPr>
        <w:t>Northern Gateway site link road</w:t>
      </w:r>
    </w:p>
    <w:p w:rsidR="00062A2E" w:rsidRPr="003D785E" w:rsidRDefault="00062A2E" w:rsidP="003D785E">
      <w:pPr>
        <w:pStyle w:val="ListParagraph"/>
        <w:numPr>
          <w:ilvl w:val="0"/>
          <w:numId w:val="18"/>
        </w:numPr>
        <w:rPr>
          <w:rFonts w:asciiTheme="minorHAnsi" w:hAnsiTheme="minorHAnsi"/>
        </w:rPr>
      </w:pPr>
      <w:proofErr w:type="spellStart"/>
      <w:r w:rsidRPr="003D785E">
        <w:rPr>
          <w:rFonts w:asciiTheme="minorHAnsi" w:hAnsiTheme="minorHAnsi"/>
        </w:rPr>
        <w:t>Peartree</w:t>
      </w:r>
      <w:proofErr w:type="spellEnd"/>
      <w:r w:rsidRPr="003D785E">
        <w:rPr>
          <w:rFonts w:asciiTheme="minorHAnsi" w:hAnsiTheme="minorHAnsi"/>
        </w:rPr>
        <w:t xml:space="preserve"> interchange</w:t>
      </w:r>
    </w:p>
    <w:p w:rsidR="00062A2E" w:rsidRPr="003D785E" w:rsidRDefault="00062A2E" w:rsidP="00062A2E">
      <w:pPr>
        <w:pStyle w:val="ListParagraph"/>
        <w:ind w:left="0"/>
        <w:rPr>
          <w:rFonts w:asciiTheme="minorHAnsi" w:hAnsiTheme="minorHAnsi"/>
        </w:rPr>
      </w:pPr>
    </w:p>
    <w:p w:rsidR="00062A2E" w:rsidRPr="003D785E" w:rsidRDefault="00062A2E" w:rsidP="00062A2E">
      <w:pPr>
        <w:pStyle w:val="ListParagraph"/>
        <w:ind w:left="0"/>
        <w:rPr>
          <w:rFonts w:asciiTheme="minorHAnsi" w:hAnsiTheme="minorHAnsi"/>
          <w:b/>
        </w:rPr>
      </w:pPr>
      <w:r w:rsidRPr="003D785E">
        <w:rPr>
          <w:rFonts w:asciiTheme="minorHAnsi" w:hAnsiTheme="minorHAnsi"/>
          <w:b/>
        </w:rPr>
        <w:t>Active Modes</w:t>
      </w:r>
    </w:p>
    <w:p w:rsidR="00062A2E" w:rsidRPr="003D785E" w:rsidRDefault="00062A2E" w:rsidP="003D785E">
      <w:pPr>
        <w:pStyle w:val="ListParagraph"/>
        <w:numPr>
          <w:ilvl w:val="0"/>
          <w:numId w:val="19"/>
        </w:numPr>
        <w:rPr>
          <w:rFonts w:asciiTheme="minorHAnsi" w:hAnsiTheme="minorHAnsi"/>
        </w:rPr>
      </w:pPr>
      <w:r w:rsidRPr="003D785E">
        <w:rPr>
          <w:rFonts w:asciiTheme="minorHAnsi" w:hAnsiTheme="minorHAnsi"/>
        </w:rPr>
        <w:t>City Wide Connector Routes</w:t>
      </w:r>
    </w:p>
    <w:p w:rsidR="00062A2E" w:rsidRPr="003D785E" w:rsidRDefault="00062A2E" w:rsidP="003D785E">
      <w:pPr>
        <w:pStyle w:val="ListParagraph"/>
        <w:numPr>
          <w:ilvl w:val="0"/>
          <w:numId w:val="19"/>
        </w:numPr>
        <w:rPr>
          <w:rFonts w:asciiTheme="minorHAnsi" w:hAnsiTheme="minorHAnsi"/>
        </w:rPr>
      </w:pPr>
      <w:r w:rsidRPr="003D785E">
        <w:rPr>
          <w:rFonts w:asciiTheme="minorHAnsi" w:hAnsiTheme="minorHAnsi"/>
        </w:rPr>
        <w:t>Connections to Oxford Station</w:t>
      </w:r>
    </w:p>
    <w:p w:rsidR="00062A2E" w:rsidRPr="003D785E" w:rsidRDefault="00062A2E" w:rsidP="003D785E">
      <w:pPr>
        <w:pStyle w:val="ListParagraph"/>
        <w:numPr>
          <w:ilvl w:val="0"/>
          <w:numId w:val="19"/>
        </w:numPr>
        <w:rPr>
          <w:rFonts w:asciiTheme="minorHAnsi" w:hAnsiTheme="minorHAnsi"/>
        </w:rPr>
      </w:pPr>
      <w:r w:rsidRPr="003D785E">
        <w:rPr>
          <w:rFonts w:asciiTheme="minorHAnsi" w:hAnsiTheme="minorHAnsi"/>
        </w:rPr>
        <w:t>Cycle hire stations</w:t>
      </w:r>
    </w:p>
    <w:p w:rsidR="00062A2E" w:rsidRPr="003D785E" w:rsidRDefault="00062A2E" w:rsidP="003D785E">
      <w:pPr>
        <w:pStyle w:val="ListParagraph"/>
        <w:numPr>
          <w:ilvl w:val="0"/>
          <w:numId w:val="19"/>
        </w:numPr>
        <w:rPr>
          <w:rFonts w:asciiTheme="minorHAnsi" w:hAnsiTheme="minorHAnsi"/>
        </w:rPr>
      </w:pPr>
      <w:r w:rsidRPr="003D785E">
        <w:rPr>
          <w:rFonts w:asciiTheme="minorHAnsi" w:hAnsiTheme="minorHAnsi"/>
        </w:rPr>
        <w:t>District Centre Improvements (</w:t>
      </w:r>
      <w:proofErr w:type="spellStart"/>
      <w:r w:rsidRPr="003D785E">
        <w:rPr>
          <w:rFonts w:asciiTheme="minorHAnsi" w:hAnsiTheme="minorHAnsi"/>
        </w:rPr>
        <w:t>Cowley</w:t>
      </w:r>
      <w:proofErr w:type="spellEnd"/>
      <w:r w:rsidRPr="003D785E">
        <w:rPr>
          <w:rFonts w:asciiTheme="minorHAnsi" w:hAnsiTheme="minorHAnsi"/>
        </w:rPr>
        <w:t xml:space="preserve"> Centre / Blackbird Leys / </w:t>
      </w:r>
      <w:proofErr w:type="spellStart"/>
      <w:r w:rsidRPr="003D785E">
        <w:rPr>
          <w:rFonts w:asciiTheme="minorHAnsi" w:hAnsiTheme="minorHAnsi"/>
        </w:rPr>
        <w:t>Headington</w:t>
      </w:r>
      <w:proofErr w:type="spellEnd"/>
      <w:r w:rsidRPr="003D785E">
        <w:rPr>
          <w:rFonts w:asciiTheme="minorHAnsi" w:hAnsiTheme="minorHAnsi"/>
        </w:rPr>
        <w:t xml:space="preserve"> / St Clements / Summertown</w:t>
      </w:r>
    </w:p>
    <w:p w:rsidR="00062A2E" w:rsidRPr="003D785E" w:rsidRDefault="00062A2E" w:rsidP="003D785E">
      <w:pPr>
        <w:pStyle w:val="ListParagraph"/>
        <w:numPr>
          <w:ilvl w:val="0"/>
          <w:numId w:val="19"/>
        </w:numPr>
        <w:rPr>
          <w:rFonts w:asciiTheme="minorHAnsi" w:hAnsiTheme="minorHAnsi"/>
        </w:rPr>
      </w:pPr>
      <w:r w:rsidRPr="003D785E">
        <w:rPr>
          <w:rFonts w:asciiTheme="minorHAnsi" w:hAnsiTheme="minorHAnsi"/>
        </w:rPr>
        <w:t>Gloucester Green cycle hub</w:t>
      </w:r>
    </w:p>
    <w:p w:rsidR="00062A2E" w:rsidRPr="003D785E" w:rsidRDefault="00062A2E" w:rsidP="003D785E">
      <w:pPr>
        <w:pStyle w:val="ListParagraph"/>
        <w:numPr>
          <w:ilvl w:val="0"/>
          <w:numId w:val="19"/>
        </w:numPr>
        <w:rPr>
          <w:rFonts w:asciiTheme="minorHAnsi" w:hAnsiTheme="minorHAnsi"/>
        </w:rPr>
      </w:pPr>
      <w:proofErr w:type="spellStart"/>
      <w:r w:rsidRPr="003D785E">
        <w:rPr>
          <w:rFonts w:asciiTheme="minorHAnsi" w:hAnsiTheme="minorHAnsi"/>
        </w:rPr>
        <w:t>Osney</w:t>
      </w:r>
      <w:proofErr w:type="spellEnd"/>
      <w:r w:rsidRPr="003D785E">
        <w:rPr>
          <w:rFonts w:asciiTheme="minorHAnsi" w:hAnsiTheme="minorHAnsi"/>
        </w:rPr>
        <w:t xml:space="preserve"> Mead Knowledge Park Enabling Works</w:t>
      </w:r>
    </w:p>
    <w:p w:rsidR="00062A2E" w:rsidRPr="003D785E" w:rsidRDefault="00062A2E" w:rsidP="003D785E">
      <w:pPr>
        <w:pStyle w:val="ListParagraph"/>
        <w:numPr>
          <w:ilvl w:val="0"/>
          <w:numId w:val="19"/>
        </w:numPr>
        <w:rPr>
          <w:rFonts w:asciiTheme="minorHAnsi" w:hAnsiTheme="minorHAnsi"/>
        </w:rPr>
      </w:pPr>
      <w:r w:rsidRPr="003D785E">
        <w:rPr>
          <w:rFonts w:asciiTheme="minorHAnsi" w:hAnsiTheme="minorHAnsi"/>
        </w:rPr>
        <w:t>Oxford City Centre Improvements</w:t>
      </w:r>
    </w:p>
    <w:p w:rsidR="00062A2E" w:rsidRPr="003D785E" w:rsidRDefault="00062A2E" w:rsidP="003D785E">
      <w:pPr>
        <w:pStyle w:val="ListParagraph"/>
        <w:numPr>
          <w:ilvl w:val="0"/>
          <w:numId w:val="19"/>
        </w:numPr>
        <w:rPr>
          <w:rFonts w:asciiTheme="minorHAnsi" w:hAnsiTheme="minorHAnsi"/>
        </w:rPr>
      </w:pPr>
      <w:proofErr w:type="spellStart"/>
      <w:r w:rsidRPr="003D785E">
        <w:rPr>
          <w:rFonts w:asciiTheme="minorHAnsi" w:hAnsiTheme="minorHAnsi"/>
        </w:rPr>
        <w:t>Oxpens</w:t>
      </w:r>
      <w:proofErr w:type="spellEnd"/>
      <w:r w:rsidRPr="003D785E">
        <w:rPr>
          <w:rFonts w:asciiTheme="minorHAnsi" w:hAnsiTheme="minorHAnsi"/>
        </w:rPr>
        <w:t xml:space="preserve"> to </w:t>
      </w:r>
      <w:proofErr w:type="spellStart"/>
      <w:r w:rsidRPr="003D785E">
        <w:rPr>
          <w:rFonts w:asciiTheme="minorHAnsi" w:hAnsiTheme="minorHAnsi"/>
        </w:rPr>
        <w:t>Osney</w:t>
      </w:r>
      <w:proofErr w:type="spellEnd"/>
      <w:r w:rsidRPr="003D785E">
        <w:rPr>
          <w:rFonts w:asciiTheme="minorHAnsi" w:hAnsiTheme="minorHAnsi"/>
        </w:rPr>
        <w:t xml:space="preserve"> Mead bridge over rail line &amp; river</w:t>
      </w:r>
    </w:p>
    <w:p w:rsidR="00062A2E" w:rsidRPr="003D785E" w:rsidRDefault="00062A2E" w:rsidP="003D785E">
      <w:pPr>
        <w:pStyle w:val="ListParagraph"/>
        <w:numPr>
          <w:ilvl w:val="0"/>
          <w:numId w:val="19"/>
        </w:numPr>
        <w:rPr>
          <w:rFonts w:asciiTheme="minorHAnsi" w:hAnsiTheme="minorHAnsi"/>
        </w:rPr>
      </w:pPr>
      <w:r w:rsidRPr="003D785E">
        <w:rPr>
          <w:rFonts w:asciiTheme="minorHAnsi" w:hAnsiTheme="minorHAnsi"/>
        </w:rPr>
        <w:t xml:space="preserve">Premium Cycle Route - Oxford Riverside Routes / Morrell Avenue / Banbury Road / </w:t>
      </w:r>
      <w:proofErr w:type="spellStart"/>
      <w:r w:rsidRPr="003D785E">
        <w:rPr>
          <w:rFonts w:asciiTheme="minorHAnsi" w:hAnsiTheme="minorHAnsi"/>
        </w:rPr>
        <w:t>Cowley</w:t>
      </w:r>
      <w:proofErr w:type="spellEnd"/>
      <w:r w:rsidRPr="003D785E">
        <w:rPr>
          <w:rFonts w:asciiTheme="minorHAnsi" w:hAnsiTheme="minorHAnsi"/>
        </w:rPr>
        <w:t xml:space="preserve"> Road / London Road 17 Public realm works (Broad street, George Street, Magdalen St, St Giles, Queen St)</w:t>
      </w:r>
    </w:p>
    <w:p w:rsidR="00062A2E" w:rsidRPr="003D785E" w:rsidRDefault="00062A2E" w:rsidP="003D785E">
      <w:pPr>
        <w:pStyle w:val="ListParagraph"/>
        <w:numPr>
          <w:ilvl w:val="0"/>
          <w:numId w:val="19"/>
        </w:numPr>
        <w:rPr>
          <w:rFonts w:asciiTheme="minorHAnsi" w:hAnsiTheme="minorHAnsi"/>
        </w:rPr>
      </w:pPr>
      <w:r w:rsidRPr="003D785E">
        <w:rPr>
          <w:rFonts w:asciiTheme="minorHAnsi" w:hAnsiTheme="minorHAnsi"/>
        </w:rPr>
        <w:t xml:space="preserve">Super Cycle Routes - B4495 / </w:t>
      </w:r>
      <w:proofErr w:type="spellStart"/>
      <w:r w:rsidRPr="003D785E">
        <w:rPr>
          <w:rFonts w:asciiTheme="minorHAnsi" w:hAnsiTheme="minorHAnsi"/>
        </w:rPr>
        <w:t>Iffley</w:t>
      </w:r>
      <w:proofErr w:type="spellEnd"/>
      <w:r w:rsidRPr="003D785E">
        <w:rPr>
          <w:rFonts w:asciiTheme="minorHAnsi" w:hAnsiTheme="minorHAnsi"/>
        </w:rPr>
        <w:t xml:space="preserve"> Road / Marston Road / Woodstock Road / </w:t>
      </w:r>
      <w:proofErr w:type="spellStart"/>
      <w:r w:rsidRPr="003D785E">
        <w:rPr>
          <w:rFonts w:asciiTheme="minorHAnsi" w:hAnsiTheme="minorHAnsi"/>
        </w:rPr>
        <w:t>Botley</w:t>
      </w:r>
      <w:proofErr w:type="spellEnd"/>
      <w:r w:rsidRPr="003D785E">
        <w:rPr>
          <w:rFonts w:asciiTheme="minorHAnsi" w:hAnsiTheme="minorHAnsi"/>
        </w:rPr>
        <w:t xml:space="preserve"> Road / </w:t>
      </w:r>
      <w:proofErr w:type="spellStart"/>
      <w:r w:rsidRPr="003D785E">
        <w:rPr>
          <w:rFonts w:asciiTheme="minorHAnsi" w:hAnsiTheme="minorHAnsi"/>
        </w:rPr>
        <w:t>Abbingdon</w:t>
      </w:r>
      <w:proofErr w:type="spellEnd"/>
      <w:r w:rsidRPr="003D785E">
        <w:rPr>
          <w:rFonts w:asciiTheme="minorHAnsi" w:hAnsiTheme="minorHAnsi"/>
        </w:rPr>
        <w:t xml:space="preserve"> Road</w:t>
      </w:r>
    </w:p>
    <w:p w:rsidR="00062A2E" w:rsidRPr="003D785E" w:rsidRDefault="00062A2E" w:rsidP="003D785E">
      <w:pPr>
        <w:pStyle w:val="ListParagraph"/>
        <w:numPr>
          <w:ilvl w:val="0"/>
          <w:numId w:val="19"/>
        </w:numPr>
        <w:rPr>
          <w:rFonts w:asciiTheme="minorHAnsi" w:hAnsiTheme="minorHAnsi"/>
        </w:rPr>
      </w:pPr>
      <w:r w:rsidRPr="003D785E">
        <w:rPr>
          <w:rFonts w:asciiTheme="minorHAnsi" w:hAnsiTheme="minorHAnsi"/>
        </w:rPr>
        <w:t>Woodstock Road Radcliffe Observatory Quarter (ROQ)</w:t>
      </w:r>
    </w:p>
    <w:p w:rsidR="00062A2E" w:rsidRPr="003D785E" w:rsidRDefault="00062A2E" w:rsidP="003D785E">
      <w:pPr>
        <w:pStyle w:val="ListParagraph"/>
        <w:numPr>
          <w:ilvl w:val="0"/>
          <w:numId w:val="19"/>
        </w:numPr>
        <w:rPr>
          <w:rFonts w:asciiTheme="minorHAnsi" w:hAnsiTheme="minorHAnsi"/>
        </w:rPr>
      </w:pPr>
      <w:r w:rsidRPr="003D785E">
        <w:rPr>
          <w:rFonts w:asciiTheme="minorHAnsi" w:hAnsiTheme="minorHAnsi"/>
        </w:rPr>
        <w:t>Zero emission zone - central core</w:t>
      </w:r>
    </w:p>
    <w:p w:rsidR="00062A2E" w:rsidRPr="003D785E" w:rsidRDefault="00062A2E" w:rsidP="003D785E">
      <w:pPr>
        <w:pStyle w:val="ListParagraph"/>
        <w:numPr>
          <w:ilvl w:val="0"/>
          <w:numId w:val="19"/>
        </w:numPr>
        <w:rPr>
          <w:rFonts w:asciiTheme="minorHAnsi" w:hAnsiTheme="minorHAnsi"/>
        </w:rPr>
      </w:pPr>
      <w:r w:rsidRPr="003D785E">
        <w:rPr>
          <w:rFonts w:asciiTheme="minorHAnsi" w:hAnsiTheme="minorHAnsi"/>
        </w:rPr>
        <w:t>Zero emission zone – citywide</w:t>
      </w:r>
    </w:p>
    <w:p w:rsidR="00062A2E" w:rsidRPr="003D785E" w:rsidRDefault="00062A2E" w:rsidP="00062A2E">
      <w:pPr>
        <w:pStyle w:val="ListParagraph"/>
        <w:ind w:left="0"/>
        <w:rPr>
          <w:rFonts w:asciiTheme="minorHAnsi" w:hAnsiTheme="minorHAnsi"/>
        </w:rPr>
      </w:pPr>
    </w:p>
    <w:p w:rsidR="00062A2E" w:rsidRPr="003D785E" w:rsidRDefault="00062A2E" w:rsidP="00062A2E">
      <w:pPr>
        <w:pStyle w:val="ListParagraph"/>
        <w:ind w:left="0"/>
        <w:rPr>
          <w:rFonts w:asciiTheme="minorHAnsi" w:hAnsiTheme="minorHAnsi"/>
          <w:b/>
        </w:rPr>
      </w:pPr>
      <w:r w:rsidRPr="003D785E">
        <w:rPr>
          <w:rFonts w:asciiTheme="minorHAnsi" w:hAnsiTheme="minorHAnsi"/>
          <w:b/>
        </w:rPr>
        <w:t>Freight</w:t>
      </w:r>
    </w:p>
    <w:p w:rsidR="00062A2E" w:rsidRPr="003D785E" w:rsidRDefault="00062A2E" w:rsidP="003D785E">
      <w:pPr>
        <w:pStyle w:val="ListParagraph"/>
        <w:numPr>
          <w:ilvl w:val="0"/>
          <w:numId w:val="20"/>
        </w:numPr>
        <w:rPr>
          <w:rFonts w:asciiTheme="minorHAnsi" w:hAnsiTheme="minorHAnsi"/>
        </w:rPr>
      </w:pPr>
      <w:r w:rsidRPr="003D785E">
        <w:rPr>
          <w:rFonts w:asciiTheme="minorHAnsi" w:hAnsiTheme="minorHAnsi"/>
        </w:rPr>
        <w:t>Freight restrictions</w:t>
      </w:r>
    </w:p>
    <w:p w:rsidR="00062A2E" w:rsidRPr="003D785E" w:rsidRDefault="00062A2E" w:rsidP="00062A2E">
      <w:pPr>
        <w:pStyle w:val="ListParagraph"/>
        <w:ind w:left="0"/>
        <w:rPr>
          <w:rFonts w:asciiTheme="minorHAnsi" w:hAnsiTheme="minorHAnsi"/>
        </w:rPr>
      </w:pPr>
    </w:p>
    <w:p w:rsidR="00062A2E" w:rsidRPr="003D785E" w:rsidRDefault="00062A2E" w:rsidP="00062A2E">
      <w:pPr>
        <w:pStyle w:val="ListParagraph"/>
        <w:ind w:left="0"/>
        <w:rPr>
          <w:rFonts w:asciiTheme="minorHAnsi" w:hAnsiTheme="minorHAnsi"/>
          <w:b/>
        </w:rPr>
      </w:pPr>
      <w:r w:rsidRPr="003D785E">
        <w:rPr>
          <w:rFonts w:asciiTheme="minorHAnsi" w:hAnsiTheme="minorHAnsi"/>
          <w:b/>
        </w:rPr>
        <w:t>Education</w:t>
      </w:r>
    </w:p>
    <w:p w:rsidR="00062A2E" w:rsidRPr="003D785E" w:rsidRDefault="00062A2E" w:rsidP="003D785E">
      <w:pPr>
        <w:pStyle w:val="ListParagraph"/>
        <w:numPr>
          <w:ilvl w:val="0"/>
          <w:numId w:val="20"/>
        </w:numPr>
        <w:rPr>
          <w:rFonts w:asciiTheme="minorHAnsi" w:hAnsiTheme="minorHAnsi"/>
        </w:rPr>
      </w:pPr>
      <w:r w:rsidRPr="003D785E">
        <w:rPr>
          <w:rFonts w:asciiTheme="minorHAnsi" w:hAnsiTheme="minorHAnsi"/>
        </w:rPr>
        <w:t>Extensions to primary schools, equivalent to 1FE, to cater for Northern Gateway and cumulative sites</w:t>
      </w:r>
    </w:p>
    <w:p w:rsidR="00062A2E" w:rsidRPr="003D785E" w:rsidRDefault="00062A2E" w:rsidP="003D785E">
      <w:pPr>
        <w:pStyle w:val="ListParagraph"/>
        <w:numPr>
          <w:ilvl w:val="0"/>
          <w:numId w:val="20"/>
        </w:numPr>
        <w:rPr>
          <w:rFonts w:asciiTheme="minorHAnsi" w:hAnsiTheme="minorHAnsi"/>
        </w:rPr>
      </w:pPr>
      <w:r w:rsidRPr="003D785E">
        <w:rPr>
          <w:rFonts w:asciiTheme="minorHAnsi" w:hAnsiTheme="minorHAnsi"/>
        </w:rPr>
        <w:t>New 1.5FE Primary School to Serve Barton Park</w:t>
      </w:r>
    </w:p>
    <w:p w:rsidR="00062A2E" w:rsidRPr="003D785E" w:rsidRDefault="00062A2E" w:rsidP="003D785E">
      <w:pPr>
        <w:pStyle w:val="ListParagraph"/>
        <w:numPr>
          <w:ilvl w:val="0"/>
          <w:numId w:val="20"/>
        </w:numPr>
        <w:rPr>
          <w:rFonts w:asciiTheme="minorHAnsi" w:hAnsiTheme="minorHAnsi"/>
        </w:rPr>
      </w:pPr>
      <w:r w:rsidRPr="003D785E">
        <w:rPr>
          <w:rFonts w:asciiTheme="minorHAnsi" w:hAnsiTheme="minorHAnsi"/>
        </w:rPr>
        <w:t>New 1,200 Pupil Secondary School (Swan School) to Serve Oxford Growth</w:t>
      </w:r>
    </w:p>
    <w:p w:rsidR="00062A2E" w:rsidRPr="003D785E" w:rsidRDefault="00062A2E" w:rsidP="00062A2E">
      <w:pPr>
        <w:pStyle w:val="ListParagraph"/>
        <w:ind w:left="0"/>
        <w:rPr>
          <w:rFonts w:asciiTheme="minorHAnsi" w:hAnsiTheme="minorHAnsi"/>
        </w:rPr>
      </w:pPr>
    </w:p>
    <w:p w:rsidR="00062A2E" w:rsidRPr="003D785E" w:rsidRDefault="00062A2E" w:rsidP="00062A2E">
      <w:pPr>
        <w:pStyle w:val="ListParagraph"/>
        <w:ind w:left="0"/>
        <w:rPr>
          <w:rFonts w:asciiTheme="minorHAnsi" w:hAnsiTheme="minorHAnsi"/>
          <w:b/>
        </w:rPr>
      </w:pPr>
      <w:r w:rsidRPr="003D785E">
        <w:rPr>
          <w:rFonts w:asciiTheme="minorHAnsi" w:hAnsiTheme="minorHAnsi"/>
          <w:b/>
        </w:rPr>
        <w:t>Health &amp; Social care</w:t>
      </w:r>
    </w:p>
    <w:p w:rsidR="00062A2E" w:rsidRPr="003D785E" w:rsidRDefault="00062A2E" w:rsidP="003D785E">
      <w:pPr>
        <w:pStyle w:val="ListParagraph"/>
        <w:numPr>
          <w:ilvl w:val="0"/>
          <w:numId w:val="21"/>
        </w:numPr>
        <w:rPr>
          <w:rFonts w:asciiTheme="minorHAnsi" w:hAnsiTheme="minorHAnsi"/>
        </w:rPr>
      </w:pPr>
      <w:r w:rsidRPr="003D785E">
        <w:rPr>
          <w:rFonts w:asciiTheme="minorHAnsi" w:hAnsiTheme="minorHAnsi"/>
        </w:rPr>
        <w:t xml:space="preserve">Enhanced community-based care for </w:t>
      </w:r>
      <w:proofErr w:type="spellStart"/>
      <w:r w:rsidRPr="003D785E">
        <w:rPr>
          <w:rFonts w:asciiTheme="minorHAnsi" w:hAnsiTheme="minorHAnsi"/>
        </w:rPr>
        <w:t>Headington</w:t>
      </w:r>
      <w:proofErr w:type="spellEnd"/>
      <w:r w:rsidRPr="003D785E">
        <w:rPr>
          <w:rFonts w:asciiTheme="minorHAnsi" w:hAnsiTheme="minorHAnsi"/>
        </w:rPr>
        <w:t>/Barton, including GP</w:t>
      </w:r>
    </w:p>
    <w:p w:rsidR="00062A2E" w:rsidRPr="003D785E" w:rsidRDefault="00062A2E" w:rsidP="003D785E">
      <w:pPr>
        <w:pStyle w:val="ListParagraph"/>
        <w:numPr>
          <w:ilvl w:val="0"/>
          <w:numId w:val="21"/>
        </w:numPr>
        <w:rPr>
          <w:rFonts w:asciiTheme="minorHAnsi" w:hAnsiTheme="minorHAnsi"/>
        </w:rPr>
      </w:pPr>
      <w:r w:rsidRPr="003D785E">
        <w:rPr>
          <w:rFonts w:asciiTheme="minorHAnsi" w:hAnsiTheme="minorHAnsi"/>
        </w:rPr>
        <w:t>New City Centre GP provision (to replace/enhance Beaumont Street)</w:t>
      </w:r>
    </w:p>
    <w:p w:rsidR="00062A2E" w:rsidRPr="003D785E" w:rsidRDefault="00062A2E" w:rsidP="003D785E">
      <w:pPr>
        <w:pStyle w:val="ListParagraph"/>
        <w:numPr>
          <w:ilvl w:val="0"/>
          <w:numId w:val="21"/>
        </w:numPr>
        <w:rPr>
          <w:rFonts w:asciiTheme="minorHAnsi" w:hAnsiTheme="minorHAnsi"/>
        </w:rPr>
      </w:pPr>
      <w:r w:rsidRPr="003D785E">
        <w:rPr>
          <w:rFonts w:asciiTheme="minorHAnsi" w:hAnsiTheme="minorHAnsi"/>
        </w:rPr>
        <w:t>New Health Centre in Summertown</w:t>
      </w:r>
    </w:p>
    <w:p w:rsidR="00062A2E" w:rsidRPr="003D785E" w:rsidRDefault="00062A2E" w:rsidP="00062A2E">
      <w:pPr>
        <w:pStyle w:val="ListParagraph"/>
        <w:ind w:left="0"/>
        <w:rPr>
          <w:rFonts w:asciiTheme="minorHAnsi" w:hAnsiTheme="minorHAnsi"/>
        </w:rPr>
      </w:pPr>
    </w:p>
    <w:p w:rsidR="00062A2E" w:rsidRPr="003D785E" w:rsidRDefault="00062A2E" w:rsidP="00062A2E">
      <w:pPr>
        <w:pStyle w:val="ListParagraph"/>
        <w:ind w:left="0"/>
        <w:rPr>
          <w:rFonts w:asciiTheme="minorHAnsi" w:hAnsiTheme="minorHAnsi"/>
          <w:b/>
        </w:rPr>
      </w:pPr>
      <w:r w:rsidRPr="003D785E">
        <w:rPr>
          <w:rFonts w:asciiTheme="minorHAnsi" w:hAnsiTheme="minorHAnsi"/>
          <w:b/>
        </w:rPr>
        <w:t>Green Infrastructure</w:t>
      </w:r>
    </w:p>
    <w:p w:rsidR="00062A2E" w:rsidRPr="003D785E" w:rsidRDefault="00062A2E" w:rsidP="003D785E">
      <w:pPr>
        <w:pStyle w:val="ListParagraph"/>
        <w:numPr>
          <w:ilvl w:val="0"/>
          <w:numId w:val="22"/>
        </w:numPr>
        <w:rPr>
          <w:rFonts w:asciiTheme="minorHAnsi" w:hAnsiTheme="minorHAnsi"/>
        </w:rPr>
      </w:pPr>
      <w:r w:rsidRPr="003D785E">
        <w:rPr>
          <w:rFonts w:asciiTheme="minorHAnsi" w:hAnsiTheme="minorHAnsi"/>
        </w:rPr>
        <w:t>Green Infrastructure for Healthier Lives in Oxford</w:t>
      </w:r>
    </w:p>
    <w:p w:rsidR="00062A2E" w:rsidRPr="003D785E" w:rsidRDefault="00062A2E" w:rsidP="00062A2E">
      <w:pPr>
        <w:pStyle w:val="ListParagraph"/>
        <w:ind w:left="0"/>
        <w:rPr>
          <w:rFonts w:asciiTheme="minorHAnsi" w:hAnsiTheme="minorHAnsi"/>
        </w:rPr>
      </w:pPr>
    </w:p>
    <w:p w:rsidR="00062A2E" w:rsidRPr="003D785E" w:rsidRDefault="00062A2E" w:rsidP="00062A2E">
      <w:pPr>
        <w:pStyle w:val="ListParagraph"/>
        <w:ind w:left="0"/>
        <w:rPr>
          <w:rFonts w:asciiTheme="minorHAnsi" w:hAnsiTheme="minorHAnsi"/>
          <w:b/>
        </w:rPr>
      </w:pPr>
      <w:r w:rsidRPr="003D785E">
        <w:rPr>
          <w:rFonts w:asciiTheme="minorHAnsi" w:hAnsiTheme="minorHAnsi"/>
          <w:b/>
        </w:rPr>
        <w:t>Energy</w:t>
      </w:r>
    </w:p>
    <w:p w:rsidR="00062A2E" w:rsidRPr="003D785E" w:rsidRDefault="00062A2E" w:rsidP="003D785E">
      <w:pPr>
        <w:pStyle w:val="ListParagraph"/>
        <w:numPr>
          <w:ilvl w:val="0"/>
          <w:numId w:val="22"/>
        </w:numPr>
        <w:rPr>
          <w:rFonts w:asciiTheme="minorHAnsi" w:hAnsiTheme="minorHAnsi"/>
        </w:rPr>
      </w:pPr>
      <w:r w:rsidRPr="003D785E">
        <w:rPr>
          <w:rFonts w:asciiTheme="minorHAnsi" w:hAnsiTheme="minorHAnsi"/>
        </w:rPr>
        <w:t xml:space="preserve">A section of the 132kV cable at </w:t>
      </w:r>
      <w:proofErr w:type="spellStart"/>
      <w:r w:rsidRPr="003D785E">
        <w:rPr>
          <w:rFonts w:asciiTheme="minorHAnsi" w:hAnsiTheme="minorHAnsi"/>
        </w:rPr>
        <w:t>Osney</w:t>
      </w:r>
      <w:proofErr w:type="spellEnd"/>
      <w:r w:rsidRPr="003D785E">
        <w:rPr>
          <w:rFonts w:asciiTheme="minorHAnsi" w:hAnsiTheme="minorHAnsi"/>
        </w:rPr>
        <w:t xml:space="preserve"> Bulk Supply Point (BSP) will need to be uprated by 2023</w:t>
      </w:r>
    </w:p>
    <w:p w:rsidR="00062A2E" w:rsidRPr="003D785E" w:rsidRDefault="00062A2E" w:rsidP="003D785E">
      <w:pPr>
        <w:pStyle w:val="ListParagraph"/>
        <w:numPr>
          <w:ilvl w:val="0"/>
          <w:numId w:val="22"/>
        </w:numPr>
        <w:rPr>
          <w:rFonts w:asciiTheme="minorHAnsi" w:hAnsiTheme="minorHAnsi"/>
        </w:rPr>
      </w:pPr>
      <w:r w:rsidRPr="003D785E">
        <w:rPr>
          <w:rFonts w:asciiTheme="minorHAnsi" w:hAnsiTheme="minorHAnsi"/>
        </w:rPr>
        <w:t>Primary transformers at the Kennington substation will require replacement by 2026</w:t>
      </w:r>
    </w:p>
    <w:p w:rsidR="00062A2E" w:rsidRPr="003D785E" w:rsidRDefault="00062A2E" w:rsidP="003D785E">
      <w:pPr>
        <w:pStyle w:val="ListParagraph"/>
        <w:numPr>
          <w:ilvl w:val="0"/>
          <w:numId w:val="22"/>
        </w:numPr>
        <w:rPr>
          <w:rFonts w:asciiTheme="minorHAnsi" w:hAnsiTheme="minorHAnsi"/>
        </w:rPr>
      </w:pPr>
      <w:r w:rsidRPr="003D785E">
        <w:rPr>
          <w:rFonts w:asciiTheme="minorHAnsi" w:hAnsiTheme="minorHAnsi"/>
        </w:rPr>
        <w:t xml:space="preserve">The North </w:t>
      </w:r>
      <w:proofErr w:type="spellStart"/>
      <w:r w:rsidRPr="003D785E">
        <w:rPr>
          <w:rFonts w:asciiTheme="minorHAnsi" w:hAnsiTheme="minorHAnsi"/>
        </w:rPr>
        <w:t>Hinksey</w:t>
      </w:r>
      <w:proofErr w:type="spellEnd"/>
      <w:r w:rsidRPr="003D785E">
        <w:rPr>
          <w:rFonts w:asciiTheme="minorHAnsi" w:hAnsiTheme="minorHAnsi"/>
        </w:rPr>
        <w:t xml:space="preserve"> primary transformers will require replacement by 2026</w:t>
      </w:r>
    </w:p>
    <w:p w:rsidR="00062A2E" w:rsidRPr="003D785E" w:rsidRDefault="00062A2E" w:rsidP="00062A2E">
      <w:pPr>
        <w:pStyle w:val="ListParagraph"/>
        <w:ind w:left="0"/>
        <w:rPr>
          <w:rFonts w:asciiTheme="minorHAnsi" w:hAnsiTheme="minorHAnsi"/>
        </w:rPr>
      </w:pPr>
    </w:p>
    <w:p w:rsidR="00062A2E" w:rsidRPr="003D785E" w:rsidRDefault="00062A2E" w:rsidP="00062A2E">
      <w:pPr>
        <w:pStyle w:val="ListParagraph"/>
        <w:ind w:left="0"/>
        <w:rPr>
          <w:rFonts w:asciiTheme="minorHAnsi" w:hAnsiTheme="minorHAnsi"/>
          <w:b/>
        </w:rPr>
      </w:pPr>
      <w:r w:rsidRPr="003D785E">
        <w:rPr>
          <w:rFonts w:asciiTheme="minorHAnsi" w:hAnsiTheme="minorHAnsi"/>
          <w:b/>
        </w:rPr>
        <w:t>Waste Water</w:t>
      </w:r>
    </w:p>
    <w:p w:rsidR="00062A2E" w:rsidRPr="003D785E" w:rsidRDefault="00062A2E" w:rsidP="003D785E">
      <w:pPr>
        <w:pStyle w:val="ListParagraph"/>
        <w:numPr>
          <w:ilvl w:val="0"/>
          <w:numId w:val="23"/>
        </w:numPr>
        <w:rPr>
          <w:rFonts w:asciiTheme="minorHAnsi" w:hAnsiTheme="minorHAnsi"/>
        </w:rPr>
      </w:pPr>
      <w:r w:rsidRPr="003D785E">
        <w:rPr>
          <w:rFonts w:asciiTheme="minorHAnsi" w:hAnsiTheme="minorHAnsi"/>
        </w:rPr>
        <w:t>Upgrade to Oxford Waste Water Treatment Works (</w:t>
      </w:r>
      <w:proofErr w:type="spellStart"/>
      <w:r w:rsidRPr="003D785E">
        <w:rPr>
          <w:rFonts w:asciiTheme="minorHAnsi" w:hAnsiTheme="minorHAnsi"/>
        </w:rPr>
        <w:t>WwTW</w:t>
      </w:r>
      <w:proofErr w:type="spellEnd"/>
      <w:r w:rsidRPr="003D785E">
        <w:rPr>
          <w:rFonts w:asciiTheme="minorHAnsi" w:hAnsiTheme="minorHAnsi"/>
        </w:rPr>
        <w:t>)</w:t>
      </w:r>
    </w:p>
    <w:p w:rsidR="00062A2E" w:rsidRPr="003D785E" w:rsidRDefault="00062A2E" w:rsidP="00062A2E">
      <w:pPr>
        <w:pStyle w:val="ListParagraph"/>
        <w:ind w:left="0"/>
        <w:rPr>
          <w:rFonts w:asciiTheme="minorHAnsi" w:hAnsiTheme="minorHAnsi"/>
        </w:rPr>
      </w:pPr>
    </w:p>
    <w:p w:rsidR="00062A2E" w:rsidRPr="003D785E" w:rsidRDefault="00062A2E" w:rsidP="00062A2E">
      <w:pPr>
        <w:pStyle w:val="ListParagraph"/>
        <w:ind w:left="0"/>
        <w:rPr>
          <w:rFonts w:asciiTheme="minorHAnsi" w:hAnsiTheme="minorHAnsi"/>
          <w:b/>
        </w:rPr>
      </w:pPr>
      <w:r w:rsidRPr="003D785E">
        <w:rPr>
          <w:rFonts w:asciiTheme="minorHAnsi" w:hAnsiTheme="minorHAnsi"/>
          <w:b/>
        </w:rPr>
        <w:t>Waste</w:t>
      </w:r>
    </w:p>
    <w:p w:rsidR="00062A2E" w:rsidRPr="003D785E" w:rsidRDefault="00062A2E" w:rsidP="003D785E">
      <w:pPr>
        <w:pStyle w:val="ListParagraph"/>
        <w:numPr>
          <w:ilvl w:val="0"/>
          <w:numId w:val="23"/>
        </w:numPr>
        <w:rPr>
          <w:rFonts w:asciiTheme="minorHAnsi" w:hAnsiTheme="minorHAnsi"/>
        </w:rPr>
      </w:pPr>
      <w:r w:rsidRPr="003D785E">
        <w:rPr>
          <w:rFonts w:asciiTheme="minorHAnsi" w:hAnsiTheme="minorHAnsi"/>
        </w:rPr>
        <w:t>Potential Household Waste Recycling Centre (HWRC) to serve the centre of the county</w:t>
      </w:r>
    </w:p>
    <w:p w:rsidR="00062A2E" w:rsidRPr="003D785E" w:rsidRDefault="00062A2E" w:rsidP="00062A2E">
      <w:pPr>
        <w:pStyle w:val="ListParagraph"/>
        <w:ind w:left="0"/>
        <w:rPr>
          <w:rFonts w:asciiTheme="minorHAnsi" w:hAnsiTheme="minorHAnsi"/>
        </w:rPr>
      </w:pPr>
    </w:p>
    <w:p w:rsidR="00062A2E" w:rsidRPr="003D785E" w:rsidRDefault="00062A2E" w:rsidP="00062A2E">
      <w:pPr>
        <w:pStyle w:val="ListParagraph"/>
        <w:ind w:left="0"/>
        <w:rPr>
          <w:rFonts w:asciiTheme="minorHAnsi" w:hAnsiTheme="minorHAnsi"/>
          <w:b/>
        </w:rPr>
      </w:pPr>
      <w:r w:rsidRPr="003D785E">
        <w:rPr>
          <w:rFonts w:asciiTheme="minorHAnsi" w:hAnsiTheme="minorHAnsi"/>
          <w:b/>
        </w:rPr>
        <w:t>Flood defences</w:t>
      </w:r>
    </w:p>
    <w:p w:rsidR="00062A2E" w:rsidRPr="007E2DA9" w:rsidRDefault="00062A2E" w:rsidP="003D785E">
      <w:pPr>
        <w:pStyle w:val="ListParagraph"/>
        <w:numPr>
          <w:ilvl w:val="0"/>
          <w:numId w:val="23"/>
        </w:numPr>
        <w:rPr>
          <w:rFonts w:asciiTheme="minorHAnsi" w:hAnsiTheme="minorHAnsi"/>
        </w:rPr>
      </w:pPr>
      <w:r w:rsidRPr="007E2DA9">
        <w:rPr>
          <w:rFonts w:asciiTheme="minorHAnsi" w:hAnsiTheme="minorHAnsi"/>
        </w:rPr>
        <w:t>Boundary Brook Catchment (Florence Park) Flood Alleviation</w:t>
      </w:r>
    </w:p>
    <w:p w:rsidR="00062A2E" w:rsidRPr="007E2DA9" w:rsidRDefault="007E2DA9" w:rsidP="007E2DA9">
      <w:pPr>
        <w:pStyle w:val="ListParagraph"/>
        <w:numPr>
          <w:ilvl w:val="0"/>
          <w:numId w:val="23"/>
        </w:numPr>
        <w:contextualSpacing w:val="0"/>
        <w:rPr>
          <w:rFonts w:asciiTheme="minorHAnsi" w:hAnsiTheme="minorHAnsi"/>
          <w:color w:val="000000"/>
        </w:rPr>
      </w:pPr>
      <w:r w:rsidRPr="007E2DA9">
        <w:rPr>
          <w:rFonts w:asciiTheme="minorHAnsi" w:hAnsiTheme="minorHAnsi"/>
          <w:bCs/>
          <w:color w:val="000000"/>
        </w:rPr>
        <w:t>Northway and Marston Flood Alleviation Scheme</w:t>
      </w:r>
    </w:p>
    <w:p w:rsidR="003D785E" w:rsidRDefault="003D785E" w:rsidP="003D785E">
      <w:pPr>
        <w:rPr>
          <w:rFonts w:asciiTheme="minorHAnsi" w:hAnsiTheme="minorHAnsi"/>
          <w:b/>
        </w:rPr>
      </w:pPr>
    </w:p>
    <w:p w:rsidR="003D785E" w:rsidRDefault="003D785E">
      <w:pPr>
        <w:rPr>
          <w:rFonts w:asciiTheme="minorHAnsi" w:hAnsiTheme="minorHAnsi"/>
          <w:b/>
        </w:rPr>
      </w:pPr>
      <w:r>
        <w:rPr>
          <w:rFonts w:asciiTheme="minorHAnsi" w:hAnsiTheme="minorHAnsi"/>
          <w:b/>
        </w:rPr>
        <w:br w:type="page"/>
      </w:r>
    </w:p>
    <w:p w:rsidR="003D785E" w:rsidRDefault="003D785E" w:rsidP="003D785E">
      <w:pPr>
        <w:pStyle w:val="ListParagraph"/>
        <w:ind w:left="0"/>
        <w:rPr>
          <w:rFonts w:asciiTheme="minorHAnsi" w:hAnsiTheme="minorHAnsi"/>
          <w:b/>
          <w:sz w:val="28"/>
        </w:rPr>
      </w:pPr>
      <w:r>
        <w:rPr>
          <w:rFonts w:asciiTheme="minorHAnsi" w:hAnsiTheme="minorHAnsi"/>
          <w:b/>
          <w:sz w:val="28"/>
        </w:rPr>
        <w:lastRenderedPageBreak/>
        <w:t>Appendix 2</w:t>
      </w:r>
    </w:p>
    <w:p w:rsidR="003D785E" w:rsidRDefault="003D785E" w:rsidP="003D785E">
      <w:pPr>
        <w:pStyle w:val="ListParagraph"/>
        <w:ind w:left="0"/>
        <w:rPr>
          <w:rFonts w:asciiTheme="minorHAnsi" w:hAnsiTheme="minorHAnsi"/>
          <w:b/>
          <w:sz w:val="28"/>
        </w:rPr>
      </w:pPr>
    </w:p>
    <w:p w:rsidR="003D785E" w:rsidRDefault="003D785E" w:rsidP="003D785E">
      <w:pPr>
        <w:pStyle w:val="ListParagraph"/>
        <w:ind w:left="0"/>
        <w:rPr>
          <w:rFonts w:asciiTheme="minorHAnsi" w:hAnsiTheme="minorHAnsi"/>
          <w:sz w:val="28"/>
          <w:szCs w:val="28"/>
        </w:rPr>
      </w:pPr>
      <w:r>
        <w:rPr>
          <w:rFonts w:asciiTheme="minorHAnsi" w:hAnsiTheme="minorHAnsi"/>
          <w:b/>
          <w:sz w:val="28"/>
        </w:rPr>
        <w:t>Local Infrastructure Projects</w:t>
      </w:r>
      <w:r w:rsidRPr="003D785E">
        <w:rPr>
          <w:rFonts w:asciiTheme="minorHAnsi" w:hAnsiTheme="minorHAnsi"/>
          <w:sz w:val="28"/>
          <w:szCs w:val="28"/>
        </w:rPr>
        <w:t xml:space="preserve"> </w:t>
      </w:r>
      <w:r w:rsidRPr="003470C4">
        <w:rPr>
          <w:rFonts w:asciiTheme="minorHAnsi" w:hAnsiTheme="minorHAnsi"/>
          <w:sz w:val="22"/>
          <w:szCs w:val="28"/>
        </w:rPr>
        <w:t>(</w:t>
      </w:r>
      <w:r w:rsidRPr="00CC24B1">
        <w:rPr>
          <w:rFonts w:asciiTheme="minorHAnsi" w:hAnsiTheme="minorHAnsi"/>
          <w:i/>
          <w:sz w:val="22"/>
          <w:szCs w:val="28"/>
        </w:rPr>
        <w:t xml:space="preserve">Draft Infrastructure Delivery Plan, </w:t>
      </w:r>
      <w:r w:rsidR="00C057DB" w:rsidRPr="00CC24B1">
        <w:rPr>
          <w:rFonts w:asciiTheme="minorHAnsi" w:hAnsiTheme="minorHAnsi"/>
          <w:i/>
          <w:sz w:val="22"/>
          <w:szCs w:val="28"/>
        </w:rPr>
        <w:t xml:space="preserve">due Jan 2018, </w:t>
      </w:r>
      <w:r w:rsidRPr="00CC24B1">
        <w:rPr>
          <w:rFonts w:asciiTheme="minorHAnsi" w:hAnsiTheme="minorHAnsi"/>
          <w:i/>
          <w:sz w:val="22"/>
          <w:szCs w:val="28"/>
        </w:rPr>
        <w:t>Oxford City Council</w:t>
      </w:r>
      <w:r w:rsidRPr="003470C4">
        <w:rPr>
          <w:rFonts w:asciiTheme="minorHAnsi" w:hAnsiTheme="minorHAnsi"/>
          <w:sz w:val="22"/>
          <w:szCs w:val="28"/>
        </w:rPr>
        <w:t>)</w:t>
      </w:r>
    </w:p>
    <w:p w:rsidR="003D785E" w:rsidRPr="003470C4" w:rsidRDefault="003D785E" w:rsidP="003D785E">
      <w:pPr>
        <w:pStyle w:val="ListParagraph"/>
        <w:ind w:left="0"/>
        <w:rPr>
          <w:rFonts w:asciiTheme="minorHAnsi" w:hAnsiTheme="minorHAnsi"/>
        </w:rPr>
      </w:pPr>
    </w:p>
    <w:p w:rsidR="003470C4" w:rsidRPr="003470C4" w:rsidRDefault="003470C4" w:rsidP="003D785E">
      <w:pPr>
        <w:pStyle w:val="ListParagraph"/>
        <w:ind w:left="0"/>
        <w:rPr>
          <w:rFonts w:asciiTheme="minorHAnsi" w:hAnsiTheme="minorHAnsi"/>
        </w:rPr>
      </w:pPr>
      <w:r w:rsidRPr="003470C4">
        <w:rPr>
          <w:rFonts w:asciiTheme="minorHAnsi" w:hAnsiTheme="minorHAnsi"/>
        </w:rPr>
        <w:t>Oxford City Capital Programme</w:t>
      </w:r>
    </w:p>
    <w:p w:rsidR="003470C4" w:rsidRPr="003470C4" w:rsidRDefault="003470C4" w:rsidP="003470C4">
      <w:pPr>
        <w:pStyle w:val="ListParagraph"/>
        <w:numPr>
          <w:ilvl w:val="0"/>
          <w:numId w:val="24"/>
        </w:numPr>
        <w:rPr>
          <w:rFonts w:asciiTheme="minorHAnsi" w:hAnsiTheme="minorHAnsi"/>
        </w:rPr>
      </w:pPr>
      <w:proofErr w:type="spellStart"/>
      <w:r w:rsidRPr="003470C4">
        <w:rPr>
          <w:rFonts w:ascii="Calibri" w:eastAsia="Times New Roman" w:hAnsi="Calibri" w:cs="Times New Roman"/>
          <w:lang w:eastAsia="en-GB"/>
        </w:rPr>
        <w:t>Horspath</w:t>
      </w:r>
      <w:proofErr w:type="spellEnd"/>
      <w:r w:rsidRPr="003470C4">
        <w:rPr>
          <w:rFonts w:ascii="Calibri" w:eastAsia="Times New Roman" w:hAnsi="Calibri" w:cs="Times New Roman"/>
          <w:lang w:eastAsia="en-GB"/>
        </w:rPr>
        <w:t xml:space="preserve"> Sports Park</w:t>
      </w:r>
    </w:p>
    <w:p w:rsidR="003470C4" w:rsidRPr="003470C4" w:rsidRDefault="003470C4" w:rsidP="003470C4">
      <w:pPr>
        <w:pStyle w:val="ListParagraph"/>
        <w:numPr>
          <w:ilvl w:val="0"/>
          <w:numId w:val="24"/>
        </w:numPr>
        <w:rPr>
          <w:rFonts w:asciiTheme="minorHAnsi" w:hAnsiTheme="minorHAnsi"/>
        </w:rPr>
      </w:pPr>
      <w:r w:rsidRPr="003470C4">
        <w:rPr>
          <w:rFonts w:ascii="Calibri" w:eastAsia="Times New Roman" w:hAnsi="Calibri" w:cs="Times New Roman"/>
          <w:lang w:eastAsia="en-GB"/>
        </w:rPr>
        <w:t>Quarry Pavilion</w:t>
      </w:r>
    </w:p>
    <w:p w:rsidR="003470C4" w:rsidRPr="003470C4" w:rsidRDefault="003470C4" w:rsidP="003470C4">
      <w:pPr>
        <w:pStyle w:val="ListParagraph"/>
        <w:numPr>
          <w:ilvl w:val="0"/>
          <w:numId w:val="24"/>
        </w:numPr>
        <w:rPr>
          <w:rFonts w:asciiTheme="minorHAnsi" w:hAnsiTheme="minorHAnsi"/>
        </w:rPr>
      </w:pPr>
      <w:r w:rsidRPr="003470C4">
        <w:rPr>
          <w:rFonts w:ascii="Calibri" w:eastAsia="Times New Roman" w:hAnsi="Calibri" w:cs="Times New Roman"/>
          <w:lang w:eastAsia="en-GB"/>
        </w:rPr>
        <w:t>East Oxford Community Centre</w:t>
      </w:r>
    </w:p>
    <w:p w:rsidR="003470C4" w:rsidRPr="003470C4" w:rsidRDefault="003470C4" w:rsidP="003470C4">
      <w:pPr>
        <w:pStyle w:val="ListParagraph"/>
        <w:numPr>
          <w:ilvl w:val="0"/>
          <w:numId w:val="24"/>
        </w:numPr>
        <w:rPr>
          <w:rFonts w:asciiTheme="minorHAnsi" w:hAnsiTheme="minorHAnsi"/>
        </w:rPr>
      </w:pPr>
      <w:r w:rsidRPr="003470C4">
        <w:rPr>
          <w:rFonts w:ascii="Calibri" w:eastAsia="Times New Roman" w:hAnsi="Calibri" w:cs="Times New Roman"/>
          <w:lang w:eastAsia="en-GB"/>
        </w:rPr>
        <w:t>Waste Transfer Station (Redbridge)</w:t>
      </w:r>
    </w:p>
    <w:p w:rsidR="003470C4" w:rsidRPr="003470C4" w:rsidRDefault="003470C4" w:rsidP="003470C4">
      <w:pPr>
        <w:pStyle w:val="ListParagraph"/>
        <w:numPr>
          <w:ilvl w:val="0"/>
          <w:numId w:val="24"/>
        </w:numPr>
        <w:rPr>
          <w:rFonts w:asciiTheme="minorHAnsi" w:hAnsiTheme="minorHAnsi"/>
        </w:rPr>
      </w:pPr>
      <w:r w:rsidRPr="003470C4">
        <w:rPr>
          <w:rFonts w:ascii="Calibri" w:eastAsia="Times New Roman" w:hAnsi="Calibri" w:cs="Times New Roman"/>
          <w:lang w:eastAsia="en-GB"/>
        </w:rPr>
        <w:t>Marsh Lane Recreation Ground Car Park Extension</w:t>
      </w:r>
    </w:p>
    <w:p w:rsidR="003470C4" w:rsidRPr="003470C4" w:rsidRDefault="003470C4" w:rsidP="003470C4">
      <w:pPr>
        <w:pStyle w:val="ListParagraph"/>
        <w:numPr>
          <w:ilvl w:val="0"/>
          <w:numId w:val="24"/>
        </w:numPr>
        <w:rPr>
          <w:rFonts w:asciiTheme="minorHAnsi" w:hAnsiTheme="minorHAnsi"/>
        </w:rPr>
      </w:pPr>
      <w:r>
        <w:rPr>
          <w:rFonts w:ascii="Calibri" w:eastAsia="Times New Roman" w:hAnsi="Calibri" w:cs="Times New Roman"/>
          <w:lang w:eastAsia="en-GB"/>
        </w:rPr>
        <w:t>Oxford Flood Alleviation Scheme</w:t>
      </w:r>
      <w:r w:rsidR="00C057DB">
        <w:rPr>
          <w:rFonts w:ascii="Calibri" w:eastAsia="Times New Roman" w:hAnsi="Calibri" w:cs="Times New Roman"/>
          <w:lang w:eastAsia="en-GB"/>
        </w:rPr>
        <w:t xml:space="preserve"> (referred to in </w:t>
      </w:r>
      <w:proofErr w:type="spellStart"/>
      <w:r w:rsidR="00C057DB">
        <w:rPr>
          <w:rFonts w:ascii="Calibri" w:eastAsia="Times New Roman" w:hAnsi="Calibri" w:cs="Times New Roman"/>
          <w:lang w:eastAsia="en-GB"/>
        </w:rPr>
        <w:t>OxIS</w:t>
      </w:r>
      <w:proofErr w:type="spellEnd"/>
      <w:r w:rsidR="00C057DB">
        <w:rPr>
          <w:rFonts w:ascii="Calibri" w:eastAsia="Times New Roman" w:hAnsi="Calibri" w:cs="Times New Roman"/>
          <w:lang w:eastAsia="en-GB"/>
        </w:rPr>
        <w:t xml:space="preserve"> but under the countywide infrastructure improvements and therefore its costing was excluded from Table 1 above)</w:t>
      </w:r>
    </w:p>
    <w:p w:rsidR="003470C4" w:rsidRPr="003470C4" w:rsidRDefault="003470C4" w:rsidP="003D785E">
      <w:pPr>
        <w:pStyle w:val="ListParagraph"/>
        <w:ind w:left="0"/>
        <w:rPr>
          <w:rFonts w:asciiTheme="minorHAnsi" w:hAnsiTheme="minorHAnsi"/>
        </w:rPr>
      </w:pPr>
    </w:p>
    <w:p w:rsidR="003470C4" w:rsidRPr="003470C4" w:rsidRDefault="003470C4" w:rsidP="003D785E">
      <w:pPr>
        <w:pStyle w:val="ListParagraph"/>
        <w:ind w:left="0"/>
        <w:rPr>
          <w:rFonts w:asciiTheme="minorHAnsi" w:hAnsiTheme="minorHAnsi"/>
        </w:rPr>
      </w:pPr>
      <w:r w:rsidRPr="003470C4">
        <w:rPr>
          <w:rFonts w:asciiTheme="minorHAnsi" w:hAnsiTheme="minorHAnsi"/>
        </w:rPr>
        <w:t>Oxford City Community Centres Strategy</w:t>
      </w:r>
    </w:p>
    <w:p w:rsidR="003470C4" w:rsidRPr="003470C4" w:rsidRDefault="003470C4" w:rsidP="003470C4">
      <w:pPr>
        <w:pStyle w:val="ListParagraph"/>
        <w:numPr>
          <w:ilvl w:val="0"/>
          <w:numId w:val="25"/>
        </w:numPr>
        <w:rPr>
          <w:rFonts w:asciiTheme="minorHAnsi" w:hAnsiTheme="minorHAnsi"/>
        </w:rPr>
      </w:pPr>
      <w:r w:rsidRPr="003470C4">
        <w:rPr>
          <w:rFonts w:ascii="Calibri" w:eastAsia="Times New Roman" w:hAnsi="Calibri" w:cs="Times New Roman"/>
          <w:lang w:eastAsia="en-GB"/>
        </w:rPr>
        <w:t>Blackbird Leys Regeneration (New Community Hub)</w:t>
      </w:r>
    </w:p>
    <w:p w:rsidR="003470C4" w:rsidRPr="003470C4" w:rsidRDefault="003470C4" w:rsidP="003470C4">
      <w:pPr>
        <w:pStyle w:val="ListParagraph"/>
        <w:numPr>
          <w:ilvl w:val="0"/>
          <w:numId w:val="25"/>
        </w:numPr>
        <w:rPr>
          <w:rFonts w:asciiTheme="minorHAnsi" w:hAnsiTheme="minorHAnsi"/>
        </w:rPr>
      </w:pPr>
      <w:r w:rsidRPr="003470C4">
        <w:rPr>
          <w:rFonts w:ascii="Calibri" w:eastAsia="Times New Roman" w:hAnsi="Calibri" w:cs="Times New Roman"/>
          <w:lang w:eastAsia="en-GB"/>
        </w:rPr>
        <w:t>Barton Community Centre</w:t>
      </w:r>
    </w:p>
    <w:p w:rsidR="003470C4" w:rsidRPr="003470C4" w:rsidRDefault="003470C4" w:rsidP="003D785E">
      <w:pPr>
        <w:pStyle w:val="ListParagraph"/>
        <w:ind w:left="0"/>
        <w:rPr>
          <w:rFonts w:asciiTheme="minorHAnsi" w:hAnsiTheme="minorHAnsi"/>
        </w:rPr>
      </w:pPr>
    </w:p>
    <w:p w:rsidR="003470C4" w:rsidRPr="003470C4" w:rsidRDefault="003470C4" w:rsidP="003D785E">
      <w:pPr>
        <w:pStyle w:val="ListParagraph"/>
        <w:ind w:left="0"/>
        <w:rPr>
          <w:rFonts w:asciiTheme="minorHAnsi" w:hAnsiTheme="minorHAnsi"/>
        </w:rPr>
      </w:pPr>
      <w:r>
        <w:rPr>
          <w:rFonts w:asciiTheme="minorHAnsi" w:hAnsiTheme="minorHAnsi"/>
        </w:rPr>
        <w:t>Biodiversity Im</w:t>
      </w:r>
      <w:r w:rsidRPr="003470C4">
        <w:rPr>
          <w:rFonts w:asciiTheme="minorHAnsi" w:hAnsiTheme="minorHAnsi"/>
        </w:rPr>
        <w:t>p</w:t>
      </w:r>
      <w:r>
        <w:rPr>
          <w:rFonts w:asciiTheme="minorHAnsi" w:hAnsiTheme="minorHAnsi"/>
        </w:rPr>
        <w:t>r</w:t>
      </w:r>
      <w:r w:rsidRPr="003470C4">
        <w:rPr>
          <w:rFonts w:asciiTheme="minorHAnsi" w:hAnsiTheme="minorHAnsi"/>
        </w:rPr>
        <w:t>ovements</w:t>
      </w:r>
    </w:p>
    <w:p w:rsidR="003470C4" w:rsidRDefault="003470C4" w:rsidP="003D785E">
      <w:pPr>
        <w:pStyle w:val="ListParagraph"/>
        <w:ind w:left="0"/>
        <w:rPr>
          <w:rFonts w:asciiTheme="minorHAnsi" w:hAnsiTheme="minorHAnsi"/>
          <w:sz w:val="28"/>
          <w:szCs w:val="28"/>
        </w:rPr>
      </w:pPr>
    </w:p>
    <w:p w:rsidR="003D785E" w:rsidRPr="003D785E" w:rsidRDefault="003D785E" w:rsidP="003D785E">
      <w:pPr>
        <w:pStyle w:val="ListParagraph"/>
        <w:ind w:left="0"/>
        <w:rPr>
          <w:rFonts w:asciiTheme="minorHAnsi" w:hAnsiTheme="minorHAnsi"/>
          <w:b/>
        </w:rPr>
      </w:pPr>
    </w:p>
    <w:p w:rsidR="003D785E" w:rsidRPr="003D785E" w:rsidRDefault="003D785E" w:rsidP="003D785E">
      <w:pPr>
        <w:rPr>
          <w:rFonts w:asciiTheme="minorHAnsi" w:hAnsiTheme="minorHAnsi"/>
          <w:b/>
        </w:rPr>
      </w:pPr>
    </w:p>
    <w:sectPr w:rsidR="003D785E" w:rsidRPr="003D78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0A" w:rsidRDefault="0080390A" w:rsidP="0080390A">
      <w:r>
        <w:separator/>
      </w:r>
    </w:p>
  </w:endnote>
  <w:endnote w:type="continuationSeparator" w:id="0">
    <w:p w:rsidR="0080390A" w:rsidRDefault="0080390A" w:rsidP="0080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1DDC87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0A" w:rsidRDefault="0080390A" w:rsidP="0080390A">
      <w:r>
        <w:separator/>
      </w:r>
    </w:p>
  </w:footnote>
  <w:footnote w:type="continuationSeparator" w:id="0">
    <w:p w:rsidR="0080390A" w:rsidRDefault="0080390A" w:rsidP="00803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AA8"/>
    <w:multiLevelType w:val="hybridMultilevel"/>
    <w:tmpl w:val="96E6683A"/>
    <w:lvl w:ilvl="0" w:tplc="F82EBE1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2446F"/>
    <w:multiLevelType w:val="hybridMultilevel"/>
    <w:tmpl w:val="14E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7018F"/>
    <w:multiLevelType w:val="hybridMultilevel"/>
    <w:tmpl w:val="B240E784"/>
    <w:lvl w:ilvl="0" w:tplc="F82EBE1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F4263C"/>
    <w:multiLevelType w:val="hybridMultilevel"/>
    <w:tmpl w:val="0FE2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E1831"/>
    <w:multiLevelType w:val="multilevel"/>
    <w:tmpl w:val="758E2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8647F4"/>
    <w:multiLevelType w:val="hybridMultilevel"/>
    <w:tmpl w:val="24BE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232FF9"/>
    <w:multiLevelType w:val="hybridMultilevel"/>
    <w:tmpl w:val="3128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73871"/>
    <w:multiLevelType w:val="hybridMultilevel"/>
    <w:tmpl w:val="F420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4482D"/>
    <w:multiLevelType w:val="multilevel"/>
    <w:tmpl w:val="7444B3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B921E7"/>
    <w:multiLevelType w:val="multilevel"/>
    <w:tmpl w:val="C1240CA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263543"/>
    <w:multiLevelType w:val="hybridMultilevel"/>
    <w:tmpl w:val="271E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051C1"/>
    <w:multiLevelType w:val="hybridMultilevel"/>
    <w:tmpl w:val="461A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9A7D7D"/>
    <w:multiLevelType w:val="hybridMultilevel"/>
    <w:tmpl w:val="CCC06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2EBE1C">
      <w:numFmt w:val="bullet"/>
      <w:lvlText w:val="•"/>
      <w:lvlJc w:val="left"/>
      <w:pPr>
        <w:ind w:left="2160" w:hanging="360"/>
      </w:pPr>
      <w:rPr>
        <w:rFonts w:ascii="Arial" w:eastAsiaTheme="minorHAnsi" w:hAnsi="Arial" w:cs="Arial" w:hint="default"/>
      </w:rPr>
    </w:lvl>
    <w:lvl w:ilvl="3" w:tplc="544A0826">
      <w:start w:val="3"/>
      <w:numFmt w:val="bullet"/>
      <w:lvlText w:val="-"/>
      <w:lvlJc w:val="left"/>
      <w:pPr>
        <w:ind w:left="2880" w:hanging="360"/>
      </w:pPr>
      <w:rPr>
        <w:rFonts w:ascii="Calibri" w:eastAsiaTheme="minorHAnsi" w:hAnsi="Calibri" w:cstheme="minorHAns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6E5B33"/>
    <w:multiLevelType w:val="hybridMultilevel"/>
    <w:tmpl w:val="EAD8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9A6170"/>
    <w:multiLevelType w:val="singleLevel"/>
    <w:tmpl w:val="0809000F"/>
    <w:lvl w:ilvl="0">
      <w:start w:val="1"/>
      <w:numFmt w:val="decimal"/>
      <w:lvlText w:val="%1."/>
      <w:lvlJc w:val="left"/>
      <w:pPr>
        <w:ind w:left="720" w:hanging="360"/>
      </w:pPr>
    </w:lvl>
  </w:abstractNum>
  <w:abstractNum w:abstractNumId="15">
    <w:nsid w:val="4B5D7DC2"/>
    <w:multiLevelType w:val="multilevel"/>
    <w:tmpl w:val="DBE478FC"/>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33158CC"/>
    <w:multiLevelType w:val="multilevel"/>
    <w:tmpl w:val="40D6B71C"/>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3D14EAC"/>
    <w:multiLevelType w:val="hybridMultilevel"/>
    <w:tmpl w:val="B440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B02B79"/>
    <w:multiLevelType w:val="hybridMultilevel"/>
    <w:tmpl w:val="0D061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E76273D"/>
    <w:multiLevelType w:val="multilevel"/>
    <w:tmpl w:val="7444B3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EA702BF"/>
    <w:multiLevelType w:val="multilevel"/>
    <w:tmpl w:val="DDF818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7C0DE8"/>
    <w:multiLevelType w:val="hybridMultilevel"/>
    <w:tmpl w:val="8570A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B4A65"/>
    <w:multiLevelType w:val="multilevel"/>
    <w:tmpl w:val="B6FA1DA0"/>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632E1DBD"/>
    <w:multiLevelType w:val="hybridMultilevel"/>
    <w:tmpl w:val="45F8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3C1D82"/>
    <w:multiLevelType w:val="hybridMultilevel"/>
    <w:tmpl w:val="345A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FC4237"/>
    <w:multiLevelType w:val="hybridMultilevel"/>
    <w:tmpl w:val="FC46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C9300C"/>
    <w:multiLevelType w:val="hybridMultilevel"/>
    <w:tmpl w:val="0D8C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4"/>
  </w:num>
  <w:num w:numId="4">
    <w:abstractNumId w:val="11"/>
  </w:num>
  <w:num w:numId="5">
    <w:abstractNumId w:val="8"/>
  </w:num>
  <w:num w:numId="6">
    <w:abstractNumId w:val="19"/>
  </w:num>
  <w:num w:numId="7">
    <w:abstractNumId w:val="14"/>
    <w:lvlOverride w:ilvl="0">
      <w:startOverride w:val="1"/>
    </w:lvlOverride>
  </w:num>
  <w:num w:numId="8">
    <w:abstractNumId w:val="21"/>
  </w:num>
  <w:num w:numId="9">
    <w:abstractNumId w:val="23"/>
  </w:num>
  <w:num w:numId="10">
    <w:abstractNumId w:val="25"/>
  </w:num>
  <w:num w:numId="11">
    <w:abstractNumId w:val="2"/>
  </w:num>
  <w:num w:numId="12">
    <w:abstractNumId w:val="0"/>
  </w:num>
  <w:num w:numId="13">
    <w:abstractNumId w:val="12"/>
  </w:num>
  <w:num w:numId="14">
    <w:abstractNumId w:val="20"/>
  </w:num>
  <w:num w:numId="15">
    <w:abstractNumId w:val="9"/>
  </w:num>
  <w:num w:numId="16">
    <w:abstractNumId w:val="16"/>
  </w:num>
  <w:num w:numId="17">
    <w:abstractNumId w:val="1"/>
  </w:num>
  <w:num w:numId="18">
    <w:abstractNumId w:val="10"/>
  </w:num>
  <w:num w:numId="19">
    <w:abstractNumId w:val="6"/>
  </w:num>
  <w:num w:numId="20">
    <w:abstractNumId w:val="7"/>
  </w:num>
  <w:num w:numId="21">
    <w:abstractNumId w:val="17"/>
  </w:num>
  <w:num w:numId="22">
    <w:abstractNumId w:val="24"/>
  </w:num>
  <w:num w:numId="23">
    <w:abstractNumId w:val="3"/>
  </w:num>
  <w:num w:numId="24">
    <w:abstractNumId w:val="5"/>
  </w:num>
  <w:num w:numId="25">
    <w:abstractNumId w:val="26"/>
  </w:num>
  <w:num w:numId="26">
    <w:abstractNumId w:val="18"/>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65"/>
    <w:rsid w:val="00003EA9"/>
    <w:rsid w:val="0002283A"/>
    <w:rsid w:val="00030317"/>
    <w:rsid w:val="00045BB3"/>
    <w:rsid w:val="00045C1E"/>
    <w:rsid w:val="00062A2E"/>
    <w:rsid w:val="00094AFD"/>
    <w:rsid w:val="000B4310"/>
    <w:rsid w:val="000C3E84"/>
    <w:rsid w:val="000C646F"/>
    <w:rsid w:val="000F7FFC"/>
    <w:rsid w:val="001013A5"/>
    <w:rsid w:val="001233B5"/>
    <w:rsid w:val="00123670"/>
    <w:rsid w:val="00137433"/>
    <w:rsid w:val="00140BF1"/>
    <w:rsid w:val="001516F4"/>
    <w:rsid w:val="00163326"/>
    <w:rsid w:val="00184E11"/>
    <w:rsid w:val="00196A4A"/>
    <w:rsid w:val="001B209B"/>
    <w:rsid w:val="001E2613"/>
    <w:rsid w:val="00205AB9"/>
    <w:rsid w:val="002238C7"/>
    <w:rsid w:val="00231ABC"/>
    <w:rsid w:val="00245B1C"/>
    <w:rsid w:val="00260573"/>
    <w:rsid w:val="0027752E"/>
    <w:rsid w:val="00292D63"/>
    <w:rsid w:val="002B761A"/>
    <w:rsid w:val="002C418C"/>
    <w:rsid w:val="002C514F"/>
    <w:rsid w:val="002C7CD1"/>
    <w:rsid w:val="002D5454"/>
    <w:rsid w:val="002F40C6"/>
    <w:rsid w:val="00331A33"/>
    <w:rsid w:val="00334990"/>
    <w:rsid w:val="003470C4"/>
    <w:rsid w:val="00352EE0"/>
    <w:rsid w:val="003554CD"/>
    <w:rsid w:val="00360254"/>
    <w:rsid w:val="0037727F"/>
    <w:rsid w:val="003921CF"/>
    <w:rsid w:val="003A13D0"/>
    <w:rsid w:val="003A3265"/>
    <w:rsid w:val="003C42D3"/>
    <w:rsid w:val="003D785E"/>
    <w:rsid w:val="003E4B56"/>
    <w:rsid w:val="003F3874"/>
    <w:rsid w:val="003F3CFD"/>
    <w:rsid w:val="004000D7"/>
    <w:rsid w:val="0042078F"/>
    <w:rsid w:val="004302AE"/>
    <w:rsid w:val="00441741"/>
    <w:rsid w:val="00443352"/>
    <w:rsid w:val="00487381"/>
    <w:rsid w:val="004923B5"/>
    <w:rsid w:val="004A1D29"/>
    <w:rsid w:val="004B3CD4"/>
    <w:rsid w:val="004E3699"/>
    <w:rsid w:val="00504E43"/>
    <w:rsid w:val="00537DED"/>
    <w:rsid w:val="00551BB0"/>
    <w:rsid w:val="005562D3"/>
    <w:rsid w:val="005578F4"/>
    <w:rsid w:val="0057174F"/>
    <w:rsid w:val="005730C4"/>
    <w:rsid w:val="005860D9"/>
    <w:rsid w:val="005B28BC"/>
    <w:rsid w:val="005B4562"/>
    <w:rsid w:val="005E70BE"/>
    <w:rsid w:val="005E7F47"/>
    <w:rsid w:val="00626D6E"/>
    <w:rsid w:val="00665557"/>
    <w:rsid w:val="00680A0F"/>
    <w:rsid w:val="00682B1C"/>
    <w:rsid w:val="00702374"/>
    <w:rsid w:val="007109E9"/>
    <w:rsid w:val="00720FD8"/>
    <w:rsid w:val="007473AF"/>
    <w:rsid w:val="00750DB9"/>
    <w:rsid w:val="00777143"/>
    <w:rsid w:val="007908F4"/>
    <w:rsid w:val="007A009B"/>
    <w:rsid w:val="007B5A30"/>
    <w:rsid w:val="007E2DA9"/>
    <w:rsid w:val="007E3F99"/>
    <w:rsid w:val="007F164F"/>
    <w:rsid w:val="0080390A"/>
    <w:rsid w:val="00840149"/>
    <w:rsid w:val="0087050B"/>
    <w:rsid w:val="008A22C6"/>
    <w:rsid w:val="008A2807"/>
    <w:rsid w:val="009065E3"/>
    <w:rsid w:val="00914077"/>
    <w:rsid w:val="009228EA"/>
    <w:rsid w:val="00933C1F"/>
    <w:rsid w:val="00991FB8"/>
    <w:rsid w:val="009D4DF5"/>
    <w:rsid w:val="009F4308"/>
    <w:rsid w:val="00A5525B"/>
    <w:rsid w:val="00A72BC7"/>
    <w:rsid w:val="00A77D0A"/>
    <w:rsid w:val="00AA6456"/>
    <w:rsid w:val="00AB2D76"/>
    <w:rsid w:val="00AC3212"/>
    <w:rsid w:val="00AF0FC5"/>
    <w:rsid w:val="00B06E7F"/>
    <w:rsid w:val="00B579E1"/>
    <w:rsid w:val="00B76C60"/>
    <w:rsid w:val="00B91AEB"/>
    <w:rsid w:val="00BA7F29"/>
    <w:rsid w:val="00BC2635"/>
    <w:rsid w:val="00BC3DF8"/>
    <w:rsid w:val="00BD0A70"/>
    <w:rsid w:val="00BD5E7B"/>
    <w:rsid w:val="00BE3D8E"/>
    <w:rsid w:val="00BF17AB"/>
    <w:rsid w:val="00C057DB"/>
    <w:rsid w:val="00C07F80"/>
    <w:rsid w:val="00C332AB"/>
    <w:rsid w:val="00C372A2"/>
    <w:rsid w:val="00C45E36"/>
    <w:rsid w:val="00C569B1"/>
    <w:rsid w:val="00C6201C"/>
    <w:rsid w:val="00C62B0A"/>
    <w:rsid w:val="00C87FD8"/>
    <w:rsid w:val="00C97E84"/>
    <w:rsid w:val="00CB02FB"/>
    <w:rsid w:val="00CC24B1"/>
    <w:rsid w:val="00CD1B93"/>
    <w:rsid w:val="00CE0183"/>
    <w:rsid w:val="00D32F80"/>
    <w:rsid w:val="00D54A83"/>
    <w:rsid w:val="00D60E13"/>
    <w:rsid w:val="00DA26AA"/>
    <w:rsid w:val="00DA7AA8"/>
    <w:rsid w:val="00E13EC1"/>
    <w:rsid w:val="00E17418"/>
    <w:rsid w:val="00E97D3A"/>
    <w:rsid w:val="00EB5607"/>
    <w:rsid w:val="00ED3B8B"/>
    <w:rsid w:val="00ED41CA"/>
    <w:rsid w:val="00EE658F"/>
    <w:rsid w:val="00EF5579"/>
    <w:rsid w:val="00F02144"/>
    <w:rsid w:val="00F052C0"/>
    <w:rsid w:val="00F136A7"/>
    <w:rsid w:val="00F42DB9"/>
    <w:rsid w:val="00F82944"/>
    <w:rsid w:val="00F92FB8"/>
    <w:rsid w:val="00FB5C84"/>
    <w:rsid w:val="00FC120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3265"/>
    <w:pPr>
      <w:ind w:left="720"/>
      <w:contextualSpacing/>
    </w:pPr>
  </w:style>
  <w:style w:type="table" w:styleId="TableGrid">
    <w:name w:val="Table Grid"/>
    <w:basedOn w:val="TableNormal"/>
    <w:uiPriority w:val="59"/>
    <w:rsid w:val="0023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aragraphtextChar">
    <w:name w:val="bParagraph text Char"/>
    <w:link w:val="bParagraphtext"/>
    <w:locked/>
    <w:rsid w:val="002F40C6"/>
    <w:rPr>
      <w:color w:val="000000"/>
    </w:rPr>
  </w:style>
  <w:style w:type="paragraph" w:customStyle="1" w:styleId="bParagraphtext">
    <w:name w:val="bParagraph text"/>
    <w:basedOn w:val="ListParagraph"/>
    <w:link w:val="bParagraphtextChar"/>
    <w:qFormat/>
    <w:rsid w:val="002F40C6"/>
    <w:pPr>
      <w:tabs>
        <w:tab w:val="left" w:pos="426"/>
      </w:tabs>
      <w:spacing w:after="120"/>
      <w:ind w:left="426" w:hanging="426"/>
      <w:contextualSpacing w:val="0"/>
    </w:pPr>
    <w:rPr>
      <w:color w:val="000000"/>
    </w:rPr>
  </w:style>
  <w:style w:type="character" w:styleId="CommentReference">
    <w:name w:val="annotation reference"/>
    <w:basedOn w:val="DefaultParagraphFont"/>
    <w:uiPriority w:val="99"/>
    <w:semiHidden/>
    <w:unhideWhenUsed/>
    <w:rsid w:val="0027752E"/>
    <w:rPr>
      <w:sz w:val="16"/>
      <w:szCs w:val="16"/>
    </w:rPr>
  </w:style>
  <w:style w:type="paragraph" w:styleId="CommentText">
    <w:name w:val="annotation text"/>
    <w:basedOn w:val="Normal"/>
    <w:link w:val="CommentTextChar"/>
    <w:uiPriority w:val="99"/>
    <w:semiHidden/>
    <w:unhideWhenUsed/>
    <w:rsid w:val="0027752E"/>
    <w:rPr>
      <w:sz w:val="20"/>
      <w:szCs w:val="20"/>
    </w:rPr>
  </w:style>
  <w:style w:type="character" w:customStyle="1" w:styleId="CommentTextChar">
    <w:name w:val="Comment Text Char"/>
    <w:basedOn w:val="DefaultParagraphFont"/>
    <w:link w:val="CommentText"/>
    <w:uiPriority w:val="99"/>
    <w:semiHidden/>
    <w:rsid w:val="0027752E"/>
    <w:rPr>
      <w:sz w:val="20"/>
      <w:szCs w:val="20"/>
    </w:rPr>
  </w:style>
  <w:style w:type="paragraph" w:styleId="CommentSubject">
    <w:name w:val="annotation subject"/>
    <w:basedOn w:val="CommentText"/>
    <w:next w:val="CommentText"/>
    <w:link w:val="CommentSubjectChar"/>
    <w:uiPriority w:val="99"/>
    <w:semiHidden/>
    <w:unhideWhenUsed/>
    <w:rsid w:val="0027752E"/>
    <w:rPr>
      <w:b/>
      <w:bCs/>
    </w:rPr>
  </w:style>
  <w:style w:type="character" w:customStyle="1" w:styleId="CommentSubjectChar">
    <w:name w:val="Comment Subject Char"/>
    <w:basedOn w:val="CommentTextChar"/>
    <w:link w:val="CommentSubject"/>
    <w:uiPriority w:val="99"/>
    <w:semiHidden/>
    <w:rsid w:val="0027752E"/>
    <w:rPr>
      <w:b/>
      <w:bCs/>
      <w:sz w:val="20"/>
      <w:szCs w:val="20"/>
    </w:rPr>
  </w:style>
  <w:style w:type="paragraph" w:styleId="BalloonText">
    <w:name w:val="Balloon Text"/>
    <w:basedOn w:val="Normal"/>
    <w:link w:val="BalloonTextChar"/>
    <w:uiPriority w:val="99"/>
    <w:semiHidden/>
    <w:unhideWhenUsed/>
    <w:rsid w:val="0027752E"/>
    <w:rPr>
      <w:rFonts w:ascii="Tahoma" w:hAnsi="Tahoma" w:cs="Tahoma"/>
      <w:sz w:val="16"/>
      <w:szCs w:val="16"/>
    </w:rPr>
  </w:style>
  <w:style w:type="character" w:customStyle="1" w:styleId="BalloonTextChar">
    <w:name w:val="Balloon Text Char"/>
    <w:basedOn w:val="DefaultParagraphFont"/>
    <w:link w:val="BalloonText"/>
    <w:uiPriority w:val="99"/>
    <w:semiHidden/>
    <w:rsid w:val="0027752E"/>
    <w:rPr>
      <w:rFonts w:ascii="Tahoma" w:hAnsi="Tahoma" w:cs="Tahoma"/>
      <w:sz w:val="16"/>
      <w:szCs w:val="16"/>
    </w:rPr>
  </w:style>
  <w:style w:type="paragraph" w:styleId="NormalWeb">
    <w:name w:val="Normal (Web)"/>
    <w:basedOn w:val="Normal"/>
    <w:uiPriority w:val="99"/>
    <w:semiHidden/>
    <w:unhideWhenUsed/>
    <w:rsid w:val="0033499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D54A83"/>
  </w:style>
  <w:style w:type="paragraph" w:styleId="FootnoteText">
    <w:name w:val="footnote text"/>
    <w:basedOn w:val="Normal"/>
    <w:link w:val="FootnoteTextChar"/>
    <w:uiPriority w:val="99"/>
    <w:semiHidden/>
    <w:unhideWhenUsed/>
    <w:rsid w:val="0080390A"/>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0390A"/>
    <w:rPr>
      <w:rFonts w:asciiTheme="minorHAnsi" w:hAnsiTheme="minorHAnsi"/>
      <w:sz w:val="20"/>
      <w:szCs w:val="20"/>
    </w:rPr>
  </w:style>
  <w:style w:type="character" w:styleId="FootnoteReference">
    <w:name w:val="footnote reference"/>
    <w:basedOn w:val="DefaultParagraphFont"/>
    <w:uiPriority w:val="99"/>
    <w:semiHidden/>
    <w:unhideWhenUsed/>
    <w:rsid w:val="0080390A"/>
    <w:rPr>
      <w:vertAlign w:val="superscript"/>
    </w:rPr>
  </w:style>
  <w:style w:type="paragraph" w:customStyle="1" w:styleId="legp2paratext">
    <w:name w:val="legp2paratext"/>
    <w:basedOn w:val="Normal"/>
    <w:rsid w:val="00C6201C"/>
    <w:pPr>
      <w:spacing w:before="100" w:beforeAutospacing="1" w:after="100" w:afterAutospacing="1"/>
    </w:pPr>
    <w:rPr>
      <w:rFonts w:ascii="Times New Roman" w:eastAsia="Times New Roman" w:hAnsi="Times New Roman" w:cs="Times New Roman"/>
      <w:lang w:eastAsia="en-GB"/>
    </w:rPr>
  </w:style>
  <w:style w:type="paragraph" w:customStyle="1" w:styleId="legclearfix">
    <w:name w:val="legclearfix"/>
    <w:basedOn w:val="Normal"/>
    <w:rsid w:val="00C6201C"/>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C6201C"/>
  </w:style>
  <w:style w:type="character" w:customStyle="1" w:styleId="ListParagraphChar">
    <w:name w:val="List Paragraph Char"/>
    <w:link w:val="ListParagraph"/>
    <w:uiPriority w:val="34"/>
    <w:rsid w:val="00CC2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3265"/>
    <w:pPr>
      <w:ind w:left="720"/>
      <w:contextualSpacing/>
    </w:pPr>
  </w:style>
  <w:style w:type="table" w:styleId="TableGrid">
    <w:name w:val="Table Grid"/>
    <w:basedOn w:val="TableNormal"/>
    <w:uiPriority w:val="59"/>
    <w:rsid w:val="0023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aragraphtextChar">
    <w:name w:val="bParagraph text Char"/>
    <w:link w:val="bParagraphtext"/>
    <w:locked/>
    <w:rsid w:val="002F40C6"/>
    <w:rPr>
      <w:color w:val="000000"/>
    </w:rPr>
  </w:style>
  <w:style w:type="paragraph" w:customStyle="1" w:styleId="bParagraphtext">
    <w:name w:val="bParagraph text"/>
    <w:basedOn w:val="ListParagraph"/>
    <w:link w:val="bParagraphtextChar"/>
    <w:qFormat/>
    <w:rsid w:val="002F40C6"/>
    <w:pPr>
      <w:tabs>
        <w:tab w:val="left" w:pos="426"/>
      </w:tabs>
      <w:spacing w:after="120"/>
      <w:ind w:left="426" w:hanging="426"/>
      <w:contextualSpacing w:val="0"/>
    </w:pPr>
    <w:rPr>
      <w:color w:val="000000"/>
    </w:rPr>
  </w:style>
  <w:style w:type="character" w:styleId="CommentReference">
    <w:name w:val="annotation reference"/>
    <w:basedOn w:val="DefaultParagraphFont"/>
    <w:uiPriority w:val="99"/>
    <w:semiHidden/>
    <w:unhideWhenUsed/>
    <w:rsid w:val="0027752E"/>
    <w:rPr>
      <w:sz w:val="16"/>
      <w:szCs w:val="16"/>
    </w:rPr>
  </w:style>
  <w:style w:type="paragraph" w:styleId="CommentText">
    <w:name w:val="annotation text"/>
    <w:basedOn w:val="Normal"/>
    <w:link w:val="CommentTextChar"/>
    <w:uiPriority w:val="99"/>
    <w:semiHidden/>
    <w:unhideWhenUsed/>
    <w:rsid w:val="0027752E"/>
    <w:rPr>
      <w:sz w:val="20"/>
      <w:szCs w:val="20"/>
    </w:rPr>
  </w:style>
  <w:style w:type="character" w:customStyle="1" w:styleId="CommentTextChar">
    <w:name w:val="Comment Text Char"/>
    <w:basedOn w:val="DefaultParagraphFont"/>
    <w:link w:val="CommentText"/>
    <w:uiPriority w:val="99"/>
    <w:semiHidden/>
    <w:rsid w:val="0027752E"/>
    <w:rPr>
      <w:sz w:val="20"/>
      <w:szCs w:val="20"/>
    </w:rPr>
  </w:style>
  <w:style w:type="paragraph" w:styleId="CommentSubject">
    <w:name w:val="annotation subject"/>
    <w:basedOn w:val="CommentText"/>
    <w:next w:val="CommentText"/>
    <w:link w:val="CommentSubjectChar"/>
    <w:uiPriority w:val="99"/>
    <w:semiHidden/>
    <w:unhideWhenUsed/>
    <w:rsid w:val="0027752E"/>
    <w:rPr>
      <w:b/>
      <w:bCs/>
    </w:rPr>
  </w:style>
  <w:style w:type="character" w:customStyle="1" w:styleId="CommentSubjectChar">
    <w:name w:val="Comment Subject Char"/>
    <w:basedOn w:val="CommentTextChar"/>
    <w:link w:val="CommentSubject"/>
    <w:uiPriority w:val="99"/>
    <w:semiHidden/>
    <w:rsid w:val="0027752E"/>
    <w:rPr>
      <w:b/>
      <w:bCs/>
      <w:sz w:val="20"/>
      <w:szCs w:val="20"/>
    </w:rPr>
  </w:style>
  <w:style w:type="paragraph" w:styleId="BalloonText">
    <w:name w:val="Balloon Text"/>
    <w:basedOn w:val="Normal"/>
    <w:link w:val="BalloonTextChar"/>
    <w:uiPriority w:val="99"/>
    <w:semiHidden/>
    <w:unhideWhenUsed/>
    <w:rsid w:val="0027752E"/>
    <w:rPr>
      <w:rFonts w:ascii="Tahoma" w:hAnsi="Tahoma" w:cs="Tahoma"/>
      <w:sz w:val="16"/>
      <w:szCs w:val="16"/>
    </w:rPr>
  </w:style>
  <w:style w:type="character" w:customStyle="1" w:styleId="BalloonTextChar">
    <w:name w:val="Balloon Text Char"/>
    <w:basedOn w:val="DefaultParagraphFont"/>
    <w:link w:val="BalloonText"/>
    <w:uiPriority w:val="99"/>
    <w:semiHidden/>
    <w:rsid w:val="0027752E"/>
    <w:rPr>
      <w:rFonts w:ascii="Tahoma" w:hAnsi="Tahoma" w:cs="Tahoma"/>
      <w:sz w:val="16"/>
      <w:szCs w:val="16"/>
    </w:rPr>
  </w:style>
  <w:style w:type="paragraph" w:styleId="NormalWeb">
    <w:name w:val="Normal (Web)"/>
    <w:basedOn w:val="Normal"/>
    <w:uiPriority w:val="99"/>
    <w:semiHidden/>
    <w:unhideWhenUsed/>
    <w:rsid w:val="0033499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D54A83"/>
  </w:style>
  <w:style w:type="paragraph" w:styleId="FootnoteText">
    <w:name w:val="footnote text"/>
    <w:basedOn w:val="Normal"/>
    <w:link w:val="FootnoteTextChar"/>
    <w:uiPriority w:val="99"/>
    <w:semiHidden/>
    <w:unhideWhenUsed/>
    <w:rsid w:val="0080390A"/>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0390A"/>
    <w:rPr>
      <w:rFonts w:asciiTheme="minorHAnsi" w:hAnsiTheme="minorHAnsi"/>
      <w:sz w:val="20"/>
      <w:szCs w:val="20"/>
    </w:rPr>
  </w:style>
  <w:style w:type="character" w:styleId="FootnoteReference">
    <w:name w:val="footnote reference"/>
    <w:basedOn w:val="DefaultParagraphFont"/>
    <w:uiPriority w:val="99"/>
    <w:semiHidden/>
    <w:unhideWhenUsed/>
    <w:rsid w:val="0080390A"/>
    <w:rPr>
      <w:vertAlign w:val="superscript"/>
    </w:rPr>
  </w:style>
  <w:style w:type="paragraph" w:customStyle="1" w:styleId="legp2paratext">
    <w:name w:val="legp2paratext"/>
    <w:basedOn w:val="Normal"/>
    <w:rsid w:val="00C6201C"/>
    <w:pPr>
      <w:spacing w:before="100" w:beforeAutospacing="1" w:after="100" w:afterAutospacing="1"/>
    </w:pPr>
    <w:rPr>
      <w:rFonts w:ascii="Times New Roman" w:eastAsia="Times New Roman" w:hAnsi="Times New Roman" w:cs="Times New Roman"/>
      <w:lang w:eastAsia="en-GB"/>
    </w:rPr>
  </w:style>
  <w:style w:type="paragraph" w:customStyle="1" w:styleId="legclearfix">
    <w:name w:val="legclearfix"/>
    <w:basedOn w:val="Normal"/>
    <w:rsid w:val="00C6201C"/>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C6201C"/>
  </w:style>
  <w:style w:type="character" w:customStyle="1" w:styleId="ListParagraphChar">
    <w:name w:val="List Paragraph Char"/>
    <w:link w:val="ListParagraph"/>
    <w:uiPriority w:val="34"/>
    <w:rsid w:val="00CC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7660">
      <w:bodyDiv w:val="1"/>
      <w:marLeft w:val="0"/>
      <w:marRight w:val="0"/>
      <w:marTop w:val="0"/>
      <w:marBottom w:val="0"/>
      <w:divBdr>
        <w:top w:val="none" w:sz="0" w:space="0" w:color="auto"/>
        <w:left w:val="none" w:sz="0" w:space="0" w:color="auto"/>
        <w:bottom w:val="none" w:sz="0" w:space="0" w:color="auto"/>
        <w:right w:val="none" w:sz="0" w:space="0" w:color="auto"/>
      </w:divBdr>
    </w:div>
    <w:div w:id="495461274">
      <w:bodyDiv w:val="1"/>
      <w:marLeft w:val="0"/>
      <w:marRight w:val="0"/>
      <w:marTop w:val="0"/>
      <w:marBottom w:val="0"/>
      <w:divBdr>
        <w:top w:val="none" w:sz="0" w:space="0" w:color="auto"/>
        <w:left w:val="none" w:sz="0" w:space="0" w:color="auto"/>
        <w:bottom w:val="none" w:sz="0" w:space="0" w:color="auto"/>
        <w:right w:val="none" w:sz="0" w:space="0" w:color="auto"/>
      </w:divBdr>
    </w:div>
    <w:div w:id="679284064">
      <w:bodyDiv w:val="1"/>
      <w:marLeft w:val="0"/>
      <w:marRight w:val="0"/>
      <w:marTop w:val="0"/>
      <w:marBottom w:val="0"/>
      <w:divBdr>
        <w:top w:val="none" w:sz="0" w:space="0" w:color="auto"/>
        <w:left w:val="none" w:sz="0" w:space="0" w:color="auto"/>
        <w:bottom w:val="none" w:sz="0" w:space="0" w:color="auto"/>
        <w:right w:val="none" w:sz="0" w:space="0" w:color="auto"/>
      </w:divBdr>
    </w:div>
    <w:div w:id="750543875">
      <w:bodyDiv w:val="1"/>
      <w:marLeft w:val="0"/>
      <w:marRight w:val="0"/>
      <w:marTop w:val="0"/>
      <w:marBottom w:val="0"/>
      <w:divBdr>
        <w:top w:val="none" w:sz="0" w:space="0" w:color="auto"/>
        <w:left w:val="none" w:sz="0" w:space="0" w:color="auto"/>
        <w:bottom w:val="none" w:sz="0" w:space="0" w:color="auto"/>
        <w:right w:val="none" w:sz="0" w:space="0" w:color="auto"/>
      </w:divBdr>
    </w:div>
    <w:div w:id="1358579740">
      <w:bodyDiv w:val="1"/>
      <w:marLeft w:val="0"/>
      <w:marRight w:val="0"/>
      <w:marTop w:val="0"/>
      <w:marBottom w:val="0"/>
      <w:divBdr>
        <w:top w:val="none" w:sz="0" w:space="0" w:color="auto"/>
        <w:left w:val="none" w:sz="0" w:space="0" w:color="auto"/>
        <w:bottom w:val="none" w:sz="0" w:space="0" w:color="auto"/>
        <w:right w:val="none" w:sz="0" w:space="0" w:color="auto"/>
      </w:divBdr>
    </w:div>
    <w:div w:id="1414086852">
      <w:bodyDiv w:val="1"/>
      <w:marLeft w:val="0"/>
      <w:marRight w:val="0"/>
      <w:marTop w:val="0"/>
      <w:marBottom w:val="0"/>
      <w:divBdr>
        <w:top w:val="none" w:sz="0" w:space="0" w:color="auto"/>
        <w:left w:val="none" w:sz="0" w:space="0" w:color="auto"/>
        <w:bottom w:val="none" w:sz="0" w:space="0" w:color="auto"/>
        <w:right w:val="none" w:sz="0" w:space="0" w:color="auto"/>
      </w:divBdr>
    </w:div>
    <w:div w:id="1580939602">
      <w:bodyDiv w:val="1"/>
      <w:marLeft w:val="0"/>
      <w:marRight w:val="0"/>
      <w:marTop w:val="0"/>
      <w:marBottom w:val="0"/>
      <w:divBdr>
        <w:top w:val="none" w:sz="0" w:space="0" w:color="auto"/>
        <w:left w:val="none" w:sz="0" w:space="0" w:color="auto"/>
        <w:bottom w:val="none" w:sz="0" w:space="0" w:color="auto"/>
        <w:right w:val="none" w:sz="0" w:space="0" w:color="auto"/>
      </w:divBdr>
    </w:div>
    <w:div w:id="1926914999">
      <w:bodyDiv w:val="1"/>
      <w:marLeft w:val="0"/>
      <w:marRight w:val="0"/>
      <w:marTop w:val="0"/>
      <w:marBottom w:val="0"/>
      <w:divBdr>
        <w:top w:val="none" w:sz="0" w:space="0" w:color="auto"/>
        <w:left w:val="none" w:sz="0" w:space="0" w:color="auto"/>
        <w:bottom w:val="none" w:sz="0" w:space="0" w:color="auto"/>
        <w:right w:val="none" w:sz="0" w:space="0" w:color="auto"/>
      </w:divBdr>
    </w:div>
    <w:div w:id="21260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29BF-9EE5-4B43-90E9-E5CB6D35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1680E92</Template>
  <TotalTime>0</TotalTime>
  <Pages>10</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rnixon</dc:creator>
  <cp:lastModifiedBy>JMitchell</cp:lastModifiedBy>
  <cp:revision>3</cp:revision>
  <cp:lastPrinted>2017-11-21T09:05:00Z</cp:lastPrinted>
  <dcterms:created xsi:type="dcterms:W3CDTF">2018-01-10T16:21:00Z</dcterms:created>
  <dcterms:modified xsi:type="dcterms:W3CDTF">2018-01-15T11:22:00Z</dcterms:modified>
</cp:coreProperties>
</file>